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7A5600"/>
          <w:sz w:val="22"/>
        </w:rPr>
        <w:t>SAMPLE — published by IPVectors Inc. as an illustration of output format.</w:t>
      </w:r>
    </w:p>
    <w:p>
      <w:r>
        <w:rPr>
          <w:i/>
          <w:color w:val="4A5B66"/>
          <w:sz w:val="17"/>
        </w:rPr>
        <w:t>Hypothetical screening work product on US9730910B2, a patent a United States court held obvious in 2022. Not legal advice, not an opinion of counsel, and not a legal conclusion about any patent. Reference availability and every conclusion belong to the attorney who signs the work. Produced 2026-10-25 · ipvectors.com</w:t>
      </w:r>
    </w:p>
    <w:p>
      <w:pPr>
        <w:spacing w:after="40" w:before="0"/>
      </w:pPr>
      <w:r>
        <w:rPr>
          <w:rFonts w:ascii="Calibri" w:hAnsi="Calibri"/>
          <w:b/>
          <w:i w:val="0"/>
          <w:color w:val="C9A227"/>
          <w:sz w:val="16"/>
        </w:rPr>
        <w:t>IPVECTORS  ·  SECTION 103 COMBINATION ANALYSIS  ·  CLAIM-CENTRIC EDITION</w:t>
      </w:r>
    </w:p>
    <w:p>
      <w:pPr>
        <w:spacing w:after="0" w:before="0"/>
      </w:pPr>
      <w:r>
        <w:rPr>
          <w:rFonts w:ascii="Calibri Light" w:hAnsi="Calibri Light"/>
          <w:b/>
          <w:i w:val="0"/>
          <w:color w:val="142B4A"/>
          <w:sz w:val="40"/>
        </w:rPr>
        <w:t>US9730910B2 (Dressman) — Claim 4 Obviousness Report</w:t>
      </w:r>
    </w:p>
    <w:p>
      <w:pPr>
        <w:spacing w:after="80" w:before="0"/>
      </w:pPr>
      <w:r>
        <w:rPr>
          <w:rFonts w:ascii="Calibri" w:hAnsi="Calibri"/>
          <w:b w:val="0"/>
          <w:i/>
          <w:color w:val="595959"/>
          <w:sz w:val="19"/>
        </w:rPr>
        <w:t>Claim of interest: claim 4, which depends on claim 1 -&gt; 2 -&gt; 3. It is analysed as that claim's limitations followed by the limitation(s) claim 4 adds: “that comprises treating the patient for Non-24-Hour Sleep-Wake Disorder” (claim 2); “wherein the patient is light perception impaired (LPI)” (claim 3); “wherein treating the patient with tasimelteon comprises orally administering to the patient 20 mg of tasimelteon once daily before a target bedtime” (claim 4).</w:t>
      </w:r>
    </w:p>
    <w:p>
      <w:pPr>
        <w:spacing w:after="40" w:before="0"/>
      </w:pPr>
      <w:r>
        <w:rPr>
          <w:rFonts w:ascii="Calibri" w:hAnsi="Calibri"/>
          <w:b w:val="0"/>
          <w:i/>
          <w:color w:val="595959"/>
          <w:sz w:val="19"/>
        </w:rPr>
        <w:t>Hypothetical obviousness screening — combination-first work product, with every figure recomputable from the cited references</w:t>
      </w:r>
    </w:p>
    <w:p>
      <w:pPr>
        <w:pBdr>
          <w:bottom w:val="single" w:sz="12" w:color="C9A227"/>
        </w:pBdr>
        <w:spacing w:after="80" w:before="0"/>
      </w:pPr>
    </w:p>
    <w:tbl>
      <w:tblPr>
        <w:tblW w:type="auto" w:w="0"/>
        <w:tblLook w:firstColumn="1" w:firstRow="1" w:lastColumn="0" w:lastRow="0" w:noHBand="0" w:noVBand="1" w:val="04A0"/>
      </w:tblPr>
      <w:tblGrid>
        <w:gridCol w:w="4824"/>
        <w:gridCol w:w="4824"/>
      </w:tblGrid>
      <w:tr>
        <w:tc>
          <w:tcPr>
            <w:tcW w:type="dxa" w:w="2088"/>
          </w:tcPr>
          <w:p>
            <w:pPr>
              <w:spacing w:after="20" w:before="0"/>
            </w:pPr>
            <w:r/>
            <w:r>
              <w:rPr>
                <w:rFonts w:ascii="Calibri" w:hAnsi="Calibri"/>
                <w:b/>
                <w:i w:val="0"/>
                <w:color w:val="C9A227"/>
                <w:sz w:val="15"/>
              </w:rPr>
              <w:t>SUBJECT</w:t>
            </w:r>
          </w:p>
        </w:tc>
        <w:tc>
          <w:tcPr>
            <w:tcW w:type="dxa" w:w="7704"/>
          </w:tcPr>
          <w:p>
            <w:pPr>
              <w:spacing w:after="20" w:before="0"/>
            </w:pPr>
            <w:r/>
            <w:r>
              <w:rPr>
                <w:rFonts w:ascii="Calibri" w:hAnsi="Calibri"/>
                <w:b w:val="0"/>
                <w:i w:val="0"/>
                <w:sz w:val="18"/>
              </w:rPr>
              <w:t>US9730910B2 (Dressman) — "Treatment of circadian rhythm disorders" · Vanda Pharmaceuticals Inc · granted B2</w:t>
            </w:r>
          </w:p>
        </w:tc>
      </w:tr>
      <w:tr>
        <w:tc>
          <w:tcPr>
            <w:tcW w:type="dxa" w:w="2088"/>
          </w:tcPr>
          <w:p>
            <w:pPr>
              <w:spacing w:after="20" w:before="0"/>
            </w:pPr>
            <w:r/>
            <w:r>
              <w:rPr>
                <w:rFonts w:ascii="Calibri" w:hAnsi="Calibri"/>
                <w:b/>
                <w:i w:val="0"/>
                <w:color w:val="C9A227"/>
                <w:sz w:val="15"/>
              </w:rPr>
              <w:t>EARLIEST PRIORITY</w:t>
            </w:r>
          </w:p>
        </w:tc>
        <w:tc>
          <w:tcPr>
            <w:tcW w:type="dxa" w:w="7704"/>
          </w:tcPr>
          <w:p>
            <w:pPr>
              <w:spacing w:after="20" w:before="0"/>
            </w:pPr>
            <w:r/>
            <w:r>
              <w:rPr>
                <w:rFonts w:ascii="Calibri" w:hAnsi="Calibri"/>
                <w:b w:val="0"/>
                <w:i w:val="0"/>
                <w:sz w:val="18"/>
              </w:rPr>
              <w:t>2012-12-18</w:t>
            </w:r>
          </w:p>
        </w:tc>
      </w:tr>
      <w:tr>
        <w:tc>
          <w:tcPr>
            <w:tcW w:type="dxa" w:w="2088"/>
          </w:tcPr>
          <w:p>
            <w:pPr>
              <w:spacing w:after="20" w:before="0"/>
            </w:pPr>
            <w:r/>
            <w:r>
              <w:rPr>
                <w:rFonts w:ascii="Calibri" w:hAnsi="Calibri"/>
                <w:b/>
                <w:i w:val="0"/>
                <w:color w:val="C9A227"/>
                <w:sz w:val="15"/>
              </w:rPr>
              <w:t>CLAIM ANALYSED</w:t>
            </w:r>
          </w:p>
        </w:tc>
        <w:tc>
          <w:tcPr>
            <w:tcW w:type="dxa" w:w="7704"/>
          </w:tcPr>
          <w:p>
            <w:pPr>
              <w:spacing w:after="20" w:before="0"/>
            </w:pPr>
            <w:r/>
            <w:r>
              <w:rPr>
                <w:rFonts w:ascii="Calibri" w:hAnsi="Calibri"/>
                <w:b w:val="0"/>
                <w:i w:val="0"/>
                <w:sz w:val="18"/>
              </w:rPr>
              <w:t>4 (dependent: 1 -&gt; 2 -&gt; 3 -&gt; 4) · 9 limitations</w:t>
            </w:r>
          </w:p>
        </w:tc>
      </w:tr>
      <w:tr>
        <w:tc>
          <w:tcPr>
            <w:tcW w:type="dxa" w:w="2088"/>
          </w:tcPr>
          <w:p>
            <w:pPr>
              <w:spacing w:after="20" w:before="0"/>
            </w:pPr>
            <w:r/>
            <w:r>
              <w:rPr>
                <w:rFonts w:ascii="Calibri" w:hAnsi="Calibri"/>
                <w:b/>
                <w:i w:val="0"/>
                <w:color w:val="C9A227"/>
                <w:sz w:val="15"/>
              </w:rPr>
              <w:t>PRIMARY CPC</w:t>
            </w:r>
          </w:p>
        </w:tc>
        <w:tc>
          <w:tcPr>
            <w:tcW w:type="dxa" w:w="7704"/>
          </w:tcPr>
          <w:p>
            <w:pPr>
              <w:spacing w:after="20" w:before="0"/>
            </w:pPr>
            <w:r/>
            <w:r>
              <w:rPr>
                <w:rFonts w:ascii="Calibri" w:hAnsi="Calibri"/>
                <w:b w:val="0"/>
                <w:i w:val="0"/>
                <w:sz w:val="18"/>
              </w:rPr>
              <w:t>G01N33/493 · 12 examiner-assigned codes</w:t>
            </w:r>
          </w:p>
        </w:tc>
      </w:tr>
      <w:tr>
        <w:tc>
          <w:tcPr>
            <w:tcW w:type="dxa" w:w="2088"/>
          </w:tcPr>
          <w:p>
            <w:pPr>
              <w:spacing w:after="20" w:before="0"/>
            </w:pPr>
            <w:r/>
            <w:r>
              <w:rPr>
                <w:rFonts w:ascii="Calibri" w:hAnsi="Calibri"/>
                <w:b/>
                <w:i w:val="0"/>
                <w:color w:val="C9A227"/>
                <w:sz w:val="15"/>
              </w:rPr>
              <w:t>ENGINE RUN</w:t>
            </w:r>
          </w:p>
        </w:tc>
        <w:tc>
          <w:tcPr>
            <w:tcW w:type="dxa" w:w="7704"/>
          </w:tcPr>
          <w:p>
            <w:pPr>
              <w:spacing w:after="20" w:before="0"/>
            </w:pPr>
            <w:r/>
            <w:r>
              <w:rPr>
                <w:rFonts w:ascii="Calibri" w:hAnsi="Calibri"/>
                <w:b w:val="0"/>
                <w:i w:val="0"/>
                <w:sz w:val="18"/>
              </w:rPr>
              <w:t>job de1875f0 · campaign cycle 3 · IPVectors native lane · libraries: OpenAlex, Europe PMC, PubMed, ClinicalTrials.gov, PubMed (papers about the compound), OpenAlex (papers about the compound), OpenAlex (compares with agomelatine), Cited on the subject patent, OpenAlex (citation of PMID:23616713 (Mets et al. 2010)), OpenAlex (citation of PMID:20945020 (Sukys-Claudino et al. 2010)), OpenAlex (citation of PMID:18728808 (Neubauer 2008)), Drugs@FDA label</w:t>
            </w:r>
          </w:p>
        </w:tc>
      </w:tr>
      <w:tr>
        <w:tc>
          <w:tcPr>
            <w:tcW w:type="dxa" w:w="2088"/>
          </w:tcPr>
          <w:p>
            <w:pPr>
              <w:spacing w:after="20" w:before="0"/>
            </w:pPr>
            <w:r/>
            <w:r>
              <w:rPr>
                <w:rFonts w:ascii="Calibri" w:hAnsi="Calibri"/>
                <w:b/>
                <w:i w:val="0"/>
                <w:color w:val="C9A227"/>
                <w:sz w:val="15"/>
              </w:rPr>
              <w:t>SEEDED REFERENCES</w:t>
            </w:r>
          </w:p>
        </w:tc>
        <w:tc>
          <w:tcPr>
            <w:tcW w:type="dxa" w:w="7704"/>
          </w:tcPr>
          <w:p>
            <w:pPr>
              <w:spacing w:after="20" w:before="0"/>
            </w:pPr>
            <w:r/>
            <w:r>
              <w:rPr>
                <w:rFonts w:ascii="Calibri" w:hAnsi="Calibri"/>
                <w:b w:val="0"/>
                <w:i w:val="0"/>
                <w:sz w:val="18"/>
              </w:rPr>
              <w:t>none -- no litigated or hand-picked art was supplied</w:t>
            </w:r>
          </w:p>
        </w:tc>
      </w:tr>
      <w:tr>
        <w:tc>
          <w:tcPr>
            <w:tcW w:type="dxa" w:w="2088"/>
          </w:tcPr>
          <w:p>
            <w:pPr>
              <w:spacing w:after="20" w:before="0"/>
            </w:pPr>
            <w:r/>
            <w:r>
              <w:rPr>
                <w:rFonts w:ascii="Calibri" w:hAnsi="Calibri"/>
                <w:b/>
                <w:i w:val="0"/>
                <w:color w:val="C9A227"/>
                <w:sz w:val="15"/>
              </w:rPr>
              <w:t>GENERATED</w:t>
            </w:r>
          </w:p>
        </w:tc>
        <w:tc>
          <w:tcPr>
            <w:tcW w:type="dxa" w:w="7704"/>
          </w:tcPr>
          <w:p>
            <w:pPr>
              <w:spacing w:after="20" w:before="0"/>
            </w:pPr>
            <w:r/>
            <w:r>
              <w:rPr>
                <w:rFonts w:ascii="Calibri" w:hAnsi="Calibri"/>
                <w:b w:val="0"/>
                <w:i w:val="0"/>
                <w:sz w:val="18"/>
              </w:rPr>
              <w:t>analysis run 2026-10-26 01:46 · this document rendered 2026-10-26 01:46 UTC (with every decision and appended paper up to then)</w:t>
            </w:r>
          </w:p>
        </w:tc>
      </w:tr>
      <w:tr>
        <w:tc>
          <w:tcPr>
            <w:tcW w:type="dxa" w:w="2088"/>
          </w:tcPr>
          <w:p>
            <w:pPr>
              <w:spacing w:after="20" w:before="0"/>
            </w:pPr>
            <w:r/>
            <w:r>
              <w:rPr>
                <w:rFonts w:ascii="Calibri" w:hAnsi="Calibri"/>
                <w:b/>
                <w:i w:val="0"/>
                <w:color w:val="C9A227"/>
                <w:sz w:val="15"/>
              </w:rPr>
              <w:t>RECORD FINGERPRINT</w:t>
            </w:r>
          </w:p>
        </w:tc>
        <w:tc>
          <w:tcPr>
            <w:tcW w:type="dxa" w:w="7704"/>
          </w:tcPr>
          <w:p>
            <w:pPr>
              <w:spacing w:after="20" w:before="0"/>
            </w:pPr>
            <w:r/>
            <w:r>
              <w:rPr>
                <w:rFonts w:ascii="Calibri" w:hAnsi="Calibri"/>
                <w:b w:val="0"/>
                <w:i w:val="0"/>
                <w:sz w:val="18"/>
              </w:rPr>
              <w:t>sha256 b35436a43ace421e76238870… · cpars 1.14 · renderer 2.1.0 — the same fingerprint always renders the same report</w:t>
            </w:r>
          </w:p>
        </w:tc>
      </w:tr>
    </w:tbl>
    <w:p>
      <w:pPr>
        <w:spacing w:after="40" w:before="0"/>
      </w:pPr>
    </w:p>
    <w:tbl>
      <w:tblPr>
        <w:tblW w:type="auto" w:w="0"/>
        <w:tblLook w:firstColumn="1" w:firstRow="1" w:lastColumn="0" w:lastRow="0" w:noHBand="0" w:noVBand="1" w:val="04A0"/>
      </w:tblPr>
      <w:tblGrid>
        <w:gridCol w:w="9648"/>
      </w:tblGrid>
      <w:tr>
        <w:tc>
          <w:tcPr>
            <w:tcW w:type="dxa" w:w="9648"/>
            <w:shd w:val="clear" w:color="auto" w:fill="F4F6FA"/>
            <w:tcBorders>
              <w:top w:val="nil"/>
              <w:bottom w:val="nil"/>
              <w:right w:val="nil"/>
              <w:left w:val="single" w:sz="36" w:color="142B4A"/>
            </w:tcBorders>
          </w:tcPr>
          <w:p>
            <w:pPr>
              <w:spacing w:after="60" w:before="0"/>
            </w:pPr>
            <w:r/>
            <w:r>
              <w:rPr>
                <w:rFonts w:ascii="Calibri" w:hAnsi="Calibri"/>
                <w:b/>
                <w:i w:val="0"/>
                <w:color w:val="142B4A"/>
                <w:sz w:val="19"/>
              </w:rPr>
              <w:t xml:space="preserve">Subject.  </w:t>
            </w:r>
            <w:r>
              <w:rPr>
                <w:rFonts w:ascii="Calibri" w:hAnsi="Calibri"/>
                <w:b w:val="0"/>
                <w:i w:val="0"/>
                <w:sz w:val="19"/>
              </w:rPr>
              <w:t>Treatment of circadian rhythm disorders</w:t>
            </w:r>
          </w:p>
          <w:p>
            <w:pPr>
              <w:spacing w:after="60" w:before="0"/>
            </w:pPr>
            <w:r>
              <w:rPr>
                <w:rFonts w:ascii="Calibri" w:hAnsi="Calibri"/>
                <w:b/>
                <w:i w:val="0"/>
                <w:color w:val="142B4A"/>
                <w:sz w:val="19"/>
              </w:rPr>
              <w:t xml:space="preserve">Essence.  </w:t>
            </w:r>
            <w:r>
              <w:rPr>
                <w:rFonts w:ascii="Calibri" w:hAnsi="Calibri"/>
                <w:b w:val="0"/>
                <w:i w:val="0"/>
                <w:sz w:val="19"/>
              </w:rPr>
              <w:t>Embodiments of the invention relate to the use of a melatonin agonist in the treatment of free running circadian rhythms in patients, including light perception impaired patients, e.g., blind patients, and to methods of measuring circadian rhythm.</w:t>
            </w:r>
          </w:p>
        </w:tc>
      </w:tr>
    </w:tbl>
    <w:p>
      <w:pPr>
        <w:spacing w:after="40" w:before="0"/>
      </w:pPr>
    </w:p>
    <w:tbl>
      <w:tblPr>
        <w:tblW w:type="auto" w:w="0"/>
        <w:tblLook w:firstColumn="1" w:firstRow="1" w:lastColumn="0" w:lastRow="0" w:noHBand="0" w:noVBand="1" w:val="04A0"/>
      </w:tblPr>
      <w:tblGrid>
        <w:gridCol w:w="9648"/>
      </w:tblGrid>
      <w:tr>
        <w:tc>
          <w:tcPr>
            <w:tcW w:type="dxa" w:w="9648"/>
            <w:shd w:val="clear" w:color="auto" w:fill="F9F7F1"/>
            <w:tcBorders>
              <w:top w:val="nil"/>
              <w:bottom w:val="nil"/>
              <w:right w:val="nil"/>
              <w:left w:val="single" w:sz="36" w:color="C9A227"/>
            </w:tcBorders>
          </w:tcPr>
          <w:p>
            <w:pPr>
              <w:spacing w:after="60" w:before="0"/>
            </w:pPr>
            <w:r/>
            <w:r>
              <w:rPr>
                <w:rFonts w:ascii="Calibri" w:hAnsi="Calibri"/>
                <w:b/>
                <w:i w:val="0"/>
                <w:color w:val="142B4A"/>
                <w:sz w:val="19"/>
              </w:rPr>
              <w:t xml:space="preserve">Status.  </w:t>
            </w:r>
            <w:r>
              <w:rPr>
                <w:rFonts w:ascii="Calibri" w:hAnsi="Calibri"/>
                <w:b w:val="0"/>
                <w:i w:val="0"/>
                <w:sz w:val="19"/>
              </w:rPr>
              <w:t>Screening work product for a patent professional, not a legal determination. The engine grades every eligible reference against every limitation on verbatim, verified quotes; assembles the smallest eligible combination by weighted set cover; names the residual gap in the claim's own words; and, where a typed motivation record exists, shows supporting and weakening evidence separately, unweighed. It reaches no conclusion on obviousness. Every combination member is prior art by publication date or earlier effective date; references failing the eligibility gate appear as context only.</w:t>
            </w:r>
          </w:p>
        </w:tc>
      </w:tr>
    </w:tbl>
    <w:p>
      <w:pPr>
        <w:spacing w:after="40" w:before="0"/>
      </w:pPr>
    </w:p>
    <w:p>
      <w:pPr>
        <w:keepNext/>
        <w:spacing w:before="240" w:after="60"/>
        <w:pBdr>
          <w:bottom w:val="single" w:sz="4" w:color="C9A227"/>
        </w:pBdr>
      </w:pPr>
      <w:r>
        <w:rPr>
          <w:rFonts w:ascii="Calibri Light" w:hAnsi="Calibri Light"/>
          <w:b/>
          <w:i w:val="0"/>
          <w:color w:val="C9A227"/>
          <w:sz w:val="30"/>
        </w:rPr>
        <w:t xml:space="preserve">01  </w:t>
      </w:r>
      <w:r>
        <w:rPr>
          <w:rFonts w:ascii="Calibri Light" w:hAnsi="Calibri Light"/>
          <w:b w:val="0"/>
          <w:i w:val="0"/>
          <w:color w:val="142B4A"/>
          <w:sz w:val="30"/>
        </w:rPr>
        <w:t>Conclusion in brief</w:t>
      </w:r>
    </w:p>
    <w:tbl>
      <w:tblPr>
        <w:tblW w:type="auto" w:w="0"/>
        <w:tblLook w:firstColumn="1" w:firstRow="1" w:lastColumn="0" w:lastRow="0" w:noHBand="0" w:noVBand="1" w:val="04A0"/>
      </w:tblPr>
      <w:tblGrid>
        <w:gridCol w:w="9648"/>
      </w:tblGrid>
      <w:tr>
        <w:tc>
          <w:tcPr>
            <w:tcW w:type="dxa" w:w="9648"/>
            <w:shd w:val="clear" w:color="auto" w:fill="FFFFFF"/>
            <w:tcBorders>
              <w:top w:val="nil"/>
              <w:bottom w:val="nil"/>
              <w:right w:val="nil"/>
              <w:left w:val="single" w:sz="36" w:color="C9A227"/>
            </w:tcBorders>
          </w:tcPr>
          <w:p>
            <w:pPr>
              <w:spacing w:after="60" w:before="0"/>
            </w:pPr>
            <w:r/>
            <w:r>
              <w:rPr>
                <w:rFonts w:ascii="Calibri" w:hAnsi="Calibri"/>
                <w:b/>
                <w:i w:val="0"/>
                <w:color w:val="142B4A"/>
                <w:sz w:val="19"/>
              </w:rPr>
              <w:t xml:space="preserve">Every limitation of claim 4 is reached by pre-priority prior art.  </w:t>
            </w:r>
            <w:r>
              <w:rPr>
                <w:rFonts w:ascii="Calibri" w:hAnsi="Calibri"/>
                <w:b w:val="0"/>
                <w:i w:val="0"/>
                <w:sz w:val="19"/>
              </w:rPr>
              <w:t>The best eligible combination reaches all 9 limitations; no limitation was left open after grading. 9 of 9 pieces closed (9 reached by the engine's finds).</w:t>
            </w:r>
          </w:p>
          <w:p>
            <w:pPr>
              <w:spacing w:after="60" w:before="0"/>
            </w:pPr>
            <w:r>
              <w:rPr>
                <w:rFonts w:ascii="Calibri" w:hAnsi="Calibri"/>
                <w:b/>
                <w:i w:val="0"/>
                <w:color w:val="142B4A"/>
                <w:sz w:val="19"/>
              </w:rPr>
              <w:t xml:space="preserve">Reached by analogy only: c1.L2.a1.  </w:t>
            </w:r>
            <w:r>
              <w:rPr>
                <w:rFonts w:ascii="Calibri" w:hAnsi="Calibri"/>
                <w:b w:val="0"/>
                <w:i w:val="0"/>
                <w:sz w:val="19"/>
              </w:rPr>
              <w:t>For c1.L2.a1 “(A) discontinuing the rifampicin treatment and then (B) treating the patient with tasimelteon, thereby…” the covering reference discloses the claimed step performed on a different element (the grader's rationale says so). It is counted at its graded weight above, but it is not a disclosure of the limitation; the campaign treats it as still open.</w:t>
            </w:r>
          </w:p>
          <w:p>
            <w:pPr>
              <w:spacing w:after="60" w:before="0"/>
            </w:pPr>
            <w:r>
              <w:rPr>
                <w:rFonts w:ascii="Calibri" w:hAnsi="Calibri"/>
                <w:b/>
                <w:i w:val="0"/>
                <w:color w:val="142B4A"/>
                <w:sz w:val="19"/>
              </w:rPr>
              <w:t xml:space="preserve">Analogous teaching for c1.L2.a1 (awaiting attorney).  </w:t>
            </w:r>
            <w:r>
              <w:rPr>
                <w:rFonts w:ascii="Calibri" w:hAnsi="Calibri"/>
                <w:b w:val="0"/>
                <w:i w:val="0"/>
                <w:sz w:val="19"/>
              </w:rPr>
              <w:t>US20100056622A1 (Lauterbach) teaches the claimed step for ramelteon, a drug of the same class as the subject drug (found through the registry class 'Melatonin receptor agonist', navigation only): “Further, patients on medications that unfavorably interact with RMT are typically not suitable for treatment with RMT unless the specified medication can be discontinued (e.g., medications that can lead to P450 CYP1A2,…” It is linked to the subject drug by US20050137247A1 (Czeisler et al.). The literal grade stays NOT FOUND and coverage is unchanged; whether the teaching carries over (motivation, expectation of success) is counsel's call.</w:t>
            </w:r>
          </w:p>
          <w:p>
            <w:pPr>
              <w:spacing w:after="60" w:before="0"/>
            </w:pPr>
            <w:r>
              <w:rPr>
                <w:rFonts w:ascii="Calibri" w:hAnsi="Calibri"/>
                <w:b/>
                <w:i w:val="0"/>
                <w:color w:val="142B4A"/>
                <w:sz w:val="19"/>
              </w:rPr>
              <w:t xml:space="preserve">No single reference anticipates the claim.  </w:t>
            </w:r>
            <w:r>
              <w:rPr>
                <w:rFonts w:ascii="Calibri" w:hAnsi="Calibri"/>
                <w:b w:val="0"/>
                <w:i w:val="0"/>
                <w:sz w:val="19"/>
              </w:rPr>
              <w:t>The closest single reference, NCT:NCT01163032  (ClinicalTrials.gov 2010), reaches 7 of 9 limitations at PARTIAL or better; nothing in the eligible pool reaches all 9.</w:t>
            </w:r>
          </w:p>
          <w:p>
            <w:pPr>
              <w:spacing w:after="60" w:before="0"/>
            </w:pPr>
            <w:r>
              <w:rPr>
                <w:rFonts w:ascii="Calibri" w:hAnsi="Calibri"/>
                <w:b/>
                <w:i w:val="0"/>
                <w:color w:val="142B4A"/>
                <w:sz w:val="19"/>
              </w:rPr>
              <w:t xml:space="preserve">One combination reaches the maximum coverage found  </w:t>
            </w:r>
            <w:r>
              <w:rPr>
                <w:rFonts w:ascii="Calibri" w:hAnsi="Calibri"/>
                <w:b w:val="0"/>
                <w:i w:val="0"/>
                <w:sz w:val="19"/>
              </w:rPr>
              <w:t>(status COMBINATION_COMPLETE): NCT:NCT01218789 (ClinicalTrials.gov 2010) (primary) + EP2308491B1 (Bradford et al.) (secondary) + US20040044064A1 (Lewy et al.) (secondary) + US20100056622A1 (Lauterbach) (secondary), all patents and verified literature prior to the 2012-12-18 date, graded on abstract (screening grade), full text. 2 alternative combinations reach the same coverage (04). A typed motivation record is attached (05).</w:t>
            </w:r>
          </w:p>
        </w:tc>
      </w:tr>
    </w:tbl>
    <w:p>
      <w:pPr>
        <w:spacing w:after="40" w:before="0"/>
      </w:pPr>
    </w:p>
    <w:tbl>
      <w:tblPr>
        <w:tblW w:type="auto" w:w="0"/>
        <w:tblLook w:firstColumn="1" w:firstRow="1" w:lastColumn="0" w:lastRow="0" w:noHBand="0" w:noVBand="1" w:val="04A0"/>
      </w:tblPr>
      <w:tblGrid>
        <w:gridCol w:w="1930"/>
        <w:gridCol w:w="1930"/>
        <w:gridCol w:w="1930"/>
        <w:gridCol w:w="1930"/>
        <w:gridCol w:w="1930"/>
      </w:tblGrid>
      <w:tr>
        <w:tc>
          <w:tcPr>
            <w:tcW w:type="dxa" w:w="1930"/>
            <w:shd w:val="clear" w:color="auto" w:fill="142B4A"/>
          </w:tcPr>
          <w:p>
            <w:pPr>
              <w:spacing w:after="0" w:before="0"/>
              <w:jc w:val="center"/>
            </w:pPr>
            <w:r/>
            <w:r>
              <w:rPr>
                <w:rFonts w:ascii="Calibri Light" w:hAnsi="Calibri Light"/>
                <w:b/>
                <w:i w:val="0"/>
                <w:color w:val="C9A227"/>
                <w:sz w:val="40"/>
              </w:rPr>
              <w:t>9 / 9</w:t>
            </w:r>
          </w:p>
          <w:p>
            <w:pPr>
              <w:spacing w:after="40" w:before="0"/>
              <w:jc w:val="center"/>
            </w:pPr>
            <w:r>
              <w:rPr>
                <w:rFonts w:ascii="Calibri" w:hAnsi="Calibri"/>
                <w:b w:val="0"/>
                <w:i w:val="0"/>
                <w:color w:val="D8DEE8"/>
                <w:sz w:val="13"/>
              </w:rPr>
              <w:t>LIMITATIONS COVERED · PRE-PRIORITY</w:t>
            </w:r>
          </w:p>
        </w:tc>
        <w:tc>
          <w:tcPr>
            <w:tcW w:type="dxa" w:w="1930"/>
            <w:shd w:val="clear" w:color="auto" w:fill="142B4A"/>
          </w:tcPr>
          <w:p>
            <w:pPr>
              <w:spacing w:after="0" w:before="0"/>
              <w:jc w:val="center"/>
            </w:pPr>
            <w:r/>
            <w:r>
              <w:rPr>
                <w:rFonts w:ascii="Calibri Light" w:hAnsi="Calibri Light"/>
                <w:b/>
                <w:i w:val="0"/>
                <w:color w:val="FFFFFF"/>
                <w:sz w:val="40"/>
              </w:rPr>
              <w:t>7</w:t>
            </w:r>
          </w:p>
          <w:p>
            <w:pPr>
              <w:spacing w:after="40" w:before="0"/>
              <w:jc w:val="center"/>
            </w:pPr>
            <w:r>
              <w:rPr>
                <w:rFonts w:ascii="Calibri" w:hAnsi="Calibri"/>
                <w:b w:val="0"/>
                <w:i w:val="0"/>
                <w:color w:val="D8DEE8"/>
                <w:sz w:val="13"/>
              </w:rPr>
              <w:t>EXPLICIT DISCLOSURES</w:t>
            </w:r>
          </w:p>
        </w:tc>
        <w:tc>
          <w:tcPr>
            <w:tcW w:type="dxa" w:w="1930"/>
            <w:shd w:val="clear" w:color="auto" w:fill="142B4A"/>
          </w:tcPr>
          <w:p>
            <w:pPr>
              <w:spacing w:after="0" w:before="0"/>
              <w:jc w:val="center"/>
            </w:pPr>
            <w:r/>
            <w:r>
              <w:rPr>
                <w:rFonts w:ascii="Calibri Light" w:hAnsi="Calibri Light"/>
                <w:b/>
                <w:i w:val="0"/>
                <w:color w:val="FFFFFF"/>
                <w:sz w:val="40"/>
              </w:rPr>
              <w:t>2</w:t>
            </w:r>
          </w:p>
          <w:p>
            <w:pPr>
              <w:spacing w:after="40" w:before="0"/>
              <w:jc w:val="center"/>
            </w:pPr>
            <w:r>
              <w:rPr>
                <w:rFonts w:ascii="Calibri" w:hAnsi="Calibri"/>
                <w:b w:val="0"/>
                <w:i w:val="0"/>
                <w:color w:val="D8DEE8"/>
                <w:sz w:val="13"/>
              </w:rPr>
              <w:t>PARTIAL / INFERENCE</w:t>
            </w:r>
          </w:p>
        </w:tc>
        <w:tc>
          <w:tcPr>
            <w:tcW w:type="dxa" w:w="1930"/>
            <w:shd w:val="clear" w:color="auto" w:fill="142B4A"/>
          </w:tcPr>
          <w:p>
            <w:pPr>
              <w:spacing w:after="0" w:before="0"/>
              <w:jc w:val="center"/>
            </w:pPr>
            <w:r/>
            <w:r>
              <w:rPr>
                <w:rFonts w:ascii="Calibri Light" w:hAnsi="Calibri Light"/>
                <w:b/>
                <w:i w:val="0"/>
                <w:color w:val="FFFFFF"/>
                <w:sz w:val="40"/>
              </w:rPr>
              <w:t>0</w:t>
            </w:r>
          </w:p>
          <w:p>
            <w:pPr>
              <w:spacing w:after="40" w:before="0"/>
              <w:jc w:val="center"/>
            </w:pPr>
            <w:r>
              <w:rPr>
                <w:rFonts w:ascii="Calibri" w:hAnsi="Calibri"/>
                <w:b w:val="0"/>
                <w:i w:val="0"/>
                <w:color w:val="D8DEE8"/>
                <w:sz w:val="13"/>
              </w:rPr>
              <w:t>OPEN</w:t>
            </w:r>
          </w:p>
        </w:tc>
        <w:tc>
          <w:tcPr>
            <w:tcW w:type="dxa" w:w="1930"/>
            <w:shd w:val="clear" w:color="auto" w:fill="142B4A"/>
          </w:tcPr>
          <w:p>
            <w:pPr>
              <w:spacing w:after="0" w:before="0"/>
              <w:jc w:val="center"/>
            </w:pPr>
            <w:r/>
            <w:r>
              <w:rPr>
                <w:rFonts w:ascii="Calibri Light" w:hAnsi="Calibri Light"/>
                <w:b/>
                <w:i w:val="0"/>
                <w:color w:val="C9A227"/>
                <w:sz w:val="40"/>
              </w:rPr>
              <w:t>9 / 9</w:t>
            </w:r>
          </w:p>
          <w:p>
            <w:pPr>
              <w:spacing w:after="40" w:before="0"/>
              <w:jc w:val="center"/>
            </w:pPr>
            <w:r>
              <w:rPr>
                <w:rFonts w:ascii="Calibri" w:hAnsi="Calibri"/>
                <w:b w:val="0"/>
                <w:i w:val="0"/>
                <w:color w:val="D8DEE8"/>
                <w:sz w:val="13"/>
              </w:rPr>
              <w:t>PIECES CLOSED · 9 BY A FIND</w:t>
            </w:r>
          </w:p>
        </w:tc>
      </w:tr>
    </w:tbl>
    <w:p>
      <w:pPr>
        <w:spacing w:after="40" w:before="0"/>
      </w:pPr>
    </w:p>
    <w:p>
      <w:pPr>
        <w:keepNext/>
        <w:spacing w:before="240" w:after="60"/>
        <w:pBdr>
          <w:bottom w:val="single" w:sz="4" w:color="C9A227"/>
        </w:pBdr>
      </w:pPr>
      <w:r>
        <w:rPr>
          <w:rFonts w:ascii="Calibri Light" w:hAnsi="Calibri Light"/>
          <w:b/>
          <w:i w:val="0"/>
          <w:color w:val="C9A227"/>
          <w:sz w:val="30"/>
        </w:rPr>
        <w:t xml:space="preserve">02  </w:t>
      </w:r>
      <w:r>
        <w:rPr>
          <w:rFonts w:ascii="Calibri Light" w:hAnsi="Calibri Light"/>
          <w:b w:val="0"/>
          <w:i w:val="0"/>
          <w:color w:val="142B4A"/>
          <w:sz w:val="30"/>
        </w:rPr>
        <w:t>Claim 4 and its limitations</w:t>
      </w:r>
    </w:p>
    <w:tbl>
      <w:tblPr>
        <w:tblW w:type="auto" w:w="0"/>
        <w:tblLook w:firstColumn="1" w:firstRow="1" w:lastColumn="0" w:lastRow="0" w:noHBand="0" w:noVBand="1" w:val="04A0"/>
      </w:tblPr>
      <w:tblGrid>
        <w:gridCol w:w="9648"/>
      </w:tblGrid>
      <w:tr>
        <w:tc>
          <w:tcPr>
            <w:tcW w:type="dxa" w:w="9648"/>
            <w:shd w:val="clear" w:color="auto" w:fill="FBFBFB"/>
            <w:tcBorders>
              <w:top w:val="nil"/>
              <w:bottom w:val="nil"/>
              <w:right w:val="nil"/>
              <w:left w:val="single" w:sz="36" w:color="142B4A"/>
            </w:tcBorders>
          </w:tcPr>
          <w:p>
            <w:pPr>
              <w:spacing w:after="60" w:before="0"/>
            </w:pPr>
            <w:r/>
            <w:r>
              <w:rPr>
                <w:rFonts w:ascii="Calibri" w:hAnsi="Calibri"/>
                <w:b/>
                <w:i w:val="0"/>
                <w:color w:val="142B4A"/>
                <w:sz w:val="18"/>
              </w:rPr>
              <w:t xml:space="preserve">CLAIM 4.  </w:t>
            </w:r>
            <w:r>
              <w:rPr>
                <w:rFonts w:ascii="Calibri" w:hAnsi="Calibri"/>
                <w:b w:val="0"/>
                <w:i w:val="0"/>
                <w:sz w:val="18"/>
              </w:rPr>
              <w:t>A method of treating a patient for a circadian rhythm disorder wherein the patient is being treated with rifampicin, the method comprising: (A) discontinuing the rifampicin treatment and then (B) treating the patient with tasimelteon, thereby avoiding the use of tasimelteon in combination with rifampicin and also thereby avoiding reduced exposure to tasimelteon caused by induction of CYP3A4 by rifampicin; further comprising that comprises treating the patient for Non-24-Hour Sleep-Wake Disorder; wherein the patient is light perception impaired (LPI); wherein treating the patient with tasimelteon comprises orally administering to the patient 20 mg of tasimelteon once daily before a target bedtime.</w:t>
            </w:r>
          </w:p>
        </w:tc>
      </w:tr>
    </w:tbl>
    <w:p>
      <w:pPr>
        <w:spacing w:after="40" w:before="0"/>
      </w:pPr>
    </w:p>
    <w:tbl>
      <w:tblPr>
        <w:tblStyle w:val="TableGrid"/>
        <w:tblW w:type="auto" w:w="0"/>
        <w:tblLook w:firstColumn="1" w:firstRow="1" w:lastColumn="0" w:lastRow="0" w:noHBand="0" w:noVBand="1" w:val="04A0"/>
      </w:tblPr>
      <w:tblGrid>
        <w:gridCol w:w="2412"/>
        <w:gridCol w:w="2412"/>
        <w:gridCol w:w="2412"/>
        <w:gridCol w:w="2412"/>
      </w:tblGrid>
      <w:tr>
        <w:tc>
          <w:tcPr>
            <w:tcW w:type="dxa" w:w="864"/>
            <w:shd w:val="clear" w:color="auto" w:fill="142B4A"/>
          </w:tcPr>
          <w:p>
            <w:pPr>
              <w:spacing w:after="0" w:before="0"/>
            </w:pPr>
            <w:r/>
            <w:r>
              <w:rPr>
                <w:rFonts w:ascii="Calibri" w:hAnsi="Calibri"/>
                <w:b/>
                <w:i w:val="0"/>
                <w:color w:val="C9A227"/>
                <w:sz w:val="15"/>
              </w:rPr>
              <w:t>LIM.</w:t>
            </w:r>
          </w:p>
        </w:tc>
        <w:tc>
          <w:tcPr>
            <w:tcW w:type="dxa" w:w="6624"/>
            <w:shd w:val="clear" w:color="auto" w:fill="142B4A"/>
          </w:tcPr>
          <w:p>
            <w:pPr>
              <w:spacing w:after="0" w:before="0"/>
            </w:pPr>
            <w:r/>
            <w:r>
              <w:rPr>
                <w:rFonts w:ascii="Calibri" w:hAnsi="Calibri"/>
                <w:b/>
                <w:i w:val="0"/>
                <w:color w:val="C9A227"/>
                <w:sz w:val="15"/>
              </w:rPr>
              <w:t>CLAIM ELEMENT (VERBATIM, AS DECOMPOSED)</w:t>
            </w:r>
          </w:p>
        </w:tc>
        <w:tc>
          <w:tcPr>
            <w:tcW w:type="dxa" w:w="1152"/>
            <w:shd w:val="clear" w:color="auto" w:fill="142B4A"/>
          </w:tcPr>
          <w:p>
            <w:pPr>
              <w:spacing w:after="0" w:before="0"/>
            </w:pPr>
            <w:r/>
            <w:r>
              <w:rPr>
                <w:rFonts w:ascii="Calibri" w:hAnsi="Calibri"/>
                <w:b/>
                <w:i w:val="0"/>
                <w:color w:val="C9A227"/>
                <w:sz w:val="15"/>
              </w:rPr>
              <w:t>KIND</w:t>
            </w:r>
          </w:p>
        </w:tc>
        <w:tc>
          <w:tcPr>
            <w:tcW w:type="dxa" w:w="1152"/>
            <w:shd w:val="clear" w:color="auto" w:fill="142B4A"/>
          </w:tcPr>
          <w:p>
            <w:pPr>
              <w:spacing w:after="0" w:before="0"/>
            </w:pPr>
            <w:r/>
            <w:r>
              <w:rPr>
                <w:rFonts w:ascii="Calibri" w:hAnsi="Calibri"/>
                <w:b/>
                <w:i w:val="0"/>
                <w:color w:val="C9A227"/>
                <w:sz w:val="15"/>
              </w:rPr>
              <w:t>PARENT</w:t>
            </w:r>
          </w:p>
        </w:tc>
      </w:tr>
      <w:tr>
        <w:tc>
          <w:tcPr>
            <w:tcW w:type="dxa" w:w="864"/>
          </w:tcPr>
          <w:p>
            <w:pPr>
              <w:spacing w:after="0" w:before="0"/>
            </w:pPr>
            <w:r/>
            <w:r>
              <w:rPr>
                <w:rFonts w:ascii="Calibri" w:hAnsi="Calibri"/>
                <w:b w:val="0"/>
                <w:i w:val="0"/>
                <w:sz w:val="17"/>
              </w:rPr>
              <w:t>c1.L1.a1</w:t>
            </w:r>
          </w:p>
        </w:tc>
        <w:tc>
          <w:tcPr>
            <w:tcW w:type="dxa" w:w="6624"/>
          </w:tcPr>
          <w:p>
            <w:pPr>
              <w:spacing w:after="0" w:before="0"/>
            </w:pPr>
            <w:r/>
            <w:r>
              <w:rPr>
                <w:rFonts w:ascii="Calibri" w:hAnsi="Calibri"/>
                <w:b w:val="0"/>
                <w:i w:val="0"/>
                <w:sz w:val="17"/>
              </w:rPr>
              <w:t>A method of treating a patient for a circadian rhythm disorder</w:t>
            </w:r>
          </w:p>
        </w:tc>
        <w:tc>
          <w:tcPr>
            <w:tcW w:type="dxa" w:w="1152"/>
          </w:tcPr>
          <w:p>
            <w:pPr>
              <w:spacing w:after="0" w:before="0"/>
            </w:pPr>
            <w:r/>
            <w:r>
              <w:rPr>
                <w:rFonts w:ascii="Calibri" w:hAnsi="Calibri"/>
                <w:b w:val="0"/>
                <w:i w:val="0"/>
                <w:sz w:val="17"/>
              </w:rPr>
              <w:t>preamble</w:t>
            </w:r>
          </w:p>
        </w:tc>
        <w:tc>
          <w:tcPr>
            <w:tcW w:type="dxa" w:w="1152"/>
          </w:tcPr>
          <w:p>
            <w:pPr>
              <w:spacing w:after="0" w:before="0"/>
            </w:pPr>
            <w:r/>
            <w:r>
              <w:rPr>
                <w:rFonts w:ascii="Calibri" w:hAnsi="Calibri"/>
                <w:b w:val="0"/>
                <w:i w:val="0"/>
                <w:sz w:val="17"/>
              </w:rPr>
              <w:t>c1.L1</w:t>
            </w:r>
          </w:p>
        </w:tc>
      </w:tr>
      <w:tr>
        <w:tc>
          <w:tcPr>
            <w:tcW w:type="dxa" w:w="864"/>
            <w:shd w:val="clear" w:color="auto" w:fill="F4F6FA"/>
          </w:tcPr>
          <w:p>
            <w:pPr>
              <w:spacing w:after="0" w:before="0"/>
            </w:pPr>
            <w:r/>
            <w:r>
              <w:rPr>
                <w:rFonts w:ascii="Calibri" w:hAnsi="Calibri"/>
                <w:b w:val="0"/>
                <w:i w:val="0"/>
                <w:sz w:val="17"/>
              </w:rPr>
              <w:t>c1.L1.a2</w:t>
            </w:r>
          </w:p>
        </w:tc>
        <w:tc>
          <w:tcPr>
            <w:tcW w:type="dxa" w:w="6624"/>
            <w:shd w:val="clear" w:color="auto" w:fill="F4F6FA"/>
          </w:tcPr>
          <w:p>
            <w:pPr>
              <w:spacing w:after="0" w:before="0"/>
            </w:pPr>
            <w:r/>
            <w:r>
              <w:rPr>
                <w:rFonts w:ascii="Calibri" w:hAnsi="Calibri"/>
                <w:b w:val="0"/>
                <w:i w:val="0"/>
                <w:sz w:val="17"/>
              </w:rPr>
              <w:t>wherein the patient is being treated with rifampicin</w:t>
            </w:r>
          </w:p>
        </w:tc>
        <w:tc>
          <w:tcPr>
            <w:tcW w:type="dxa" w:w="1152"/>
            <w:shd w:val="clear" w:color="auto" w:fill="F4F6FA"/>
          </w:tcPr>
          <w:p>
            <w:pPr>
              <w:spacing w:after="0" w:before="0"/>
            </w:pPr>
            <w:r/>
            <w:r>
              <w:rPr>
                <w:rFonts w:ascii="Calibri" w:hAnsi="Calibri"/>
                <w:b w:val="0"/>
                <w:i w:val="0"/>
                <w:sz w:val="17"/>
              </w:rPr>
              <w:t>condition</w:t>
            </w:r>
          </w:p>
        </w:tc>
        <w:tc>
          <w:tcPr>
            <w:tcW w:type="dxa" w:w="1152"/>
            <w:shd w:val="clear" w:color="auto" w:fill="F4F6FA"/>
          </w:tcPr>
          <w:p>
            <w:pPr>
              <w:spacing w:after="0" w:before="0"/>
            </w:pPr>
            <w:r/>
            <w:r>
              <w:rPr>
                <w:rFonts w:ascii="Calibri" w:hAnsi="Calibri"/>
                <w:b w:val="0"/>
                <w:i w:val="0"/>
                <w:sz w:val="17"/>
              </w:rPr>
              <w:t>c1.L1</w:t>
            </w:r>
          </w:p>
        </w:tc>
      </w:tr>
      <w:tr>
        <w:tc>
          <w:tcPr>
            <w:tcW w:type="dxa" w:w="864"/>
          </w:tcPr>
          <w:p>
            <w:pPr>
              <w:spacing w:after="0" w:before="0"/>
            </w:pPr>
            <w:r/>
            <w:r>
              <w:rPr>
                <w:rFonts w:ascii="Calibri" w:hAnsi="Calibri"/>
                <w:b w:val="0"/>
                <w:i w:val="0"/>
                <w:sz w:val="17"/>
              </w:rPr>
              <w:t>c1.L2.a1</w:t>
            </w:r>
          </w:p>
        </w:tc>
        <w:tc>
          <w:tcPr>
            <w:tcW w:type="dxa" w:w="6624"/>
          </w:tcPr>
          <w:p>
            <w:pPr>
              <w:spacing w:after="0" w:before="0"/>
            </w:pPr>
            <w:r/>
            <w:r>
              <w:rPr>
                <w:rFonts w:ascii="Calibri" w:hAnsi="Calibri"/>
                <w:b w:val="0"/>
                <w:i w:val="0"/>
                <w:sz w:val="17"/>
              </w:rPr>
              <w:t>(A) discontinuing the rifampicin treatment and then (B) treating the patient with tasimelteon, thereby avoiding the use of tasimelteon in combination with rifampicin and also thereby avoiding reduced exposure to tasimelteon caused by induction of CYP3A4 by rifampicin</w:t>
            </w:r>
          </w:p>
        </w:tc>
        <w:tc>
          <w:tcPr>
            <w:tcW w:type="dxa" w:w="1152"/>
          </w:tcPr>
          <w:p>
            <w:pPr>
              <w:spacing w:after="0" w:before="0"/>
            </w:pPr>
            <w:r/>
            <w:r>
              <w:rPr>
                <w:rFonts w:ascii="Calibri" w:hAnsi="Calibri"/>
                <w:b w:val="0"/>
                <w:i w:val="0"/>
                <w:sz w:val="17"/>
              </w:rPr>
              <w:t>element</w:t>
            </w:r>
          </w:p>
        </w:tc>
        <w:tc>
          <w:tcPr>
            <w:tcW w:type="dxa" w:w="1152"/>
          </w:tcPr>
          <w:p>
            <w:pPr>
              <w:spacing w:after="0" w:before="0"/>
            </w:pPr>
            <w:r/>
            <w:r>
              <w:rPr>
                <w:rFonts w:ascii="Calibri" w:hAnsi="Calibri"/>
                <w:b w:val="0"/>
                <w:i w:val="0"/>
                <w:sz w:val="17"/>
              </w:rPr>
              <w:t>c1.L2</w:t>
            </w:r>
          </w:p>
        </w:tc>
      </w:tr>
      <w:tr>
        <w:tc>
          <w:tcPr>
            <w:tcW w:type="dxa" w:w="864"/>
            <w:shd w:val="clear" w:color="auto" w:fill="F4F6FA"/>
          </w:tcPr>
          <w:p>
            <w:pPr>
              <w:spacing w:after="0" w:before="0"/>
            </w:pPr>
            <w:r/>
            <w:r>
              <w:rPr>
                <w:rFonts w:ascii="Calibri" w:hAnsi="Calibri"/>
                <w:b w:val="0"/>
                <w:i w:val="0"/>
                <w:sz w:val="17"/>
              </w:rPr>
              <w:t>c2.L1.a1</w:t>
            </w:r>
          </w:p>
        </w:tc>
        <w:tc>
          <w:tcPr>
            <w:tcW w:type="dxa" w:w="6624"/>
            <w:shd w:val="clear" w:color="auto" w:fill="F4F6FA"/>
          </w:tcPr>
          <w:p>
            <w:pPr>
              <w:spacing w:after="0" w:before="0"/>
            </w:pPr>
            <w:r/>
            <w:r>
              <w:rPr>
                <w:rFonts w:ascii="Calibri" w:hAnsi="Calibri"/>
                <w:b w:val="0"/>
                <w:i w:val="0"/>
                <w:sz w:val="17"/>
              </w:rPr>
              <w:t>treating the patient for Non-24-Hour Sleep-Wake Disorder</w:t>
            </w:r>
          </w:p>
        </w:tc>
        <w:tc>
          <w:tcPr>
            <w:tcW w:type="dxa" w:w="1152"/>
            <w:shd w:val="clear" w:color="auto" w:fill="F4F6FA"/>
          </w:tcPr>
          <w:p>
            <w:pPr>
              <w:spacing w:after="0" w:before="0"/>
            </w:pPr>
            <w:r/>
            <w:r>
              <w:rPr>
                <w:rFonts w:ascii="Calibri" w:hAnsi="Calibri"/>
                <w:b w:val="0"/>
                <w:i w:val="0"/>
                <w:sz w:val="17"/>
              </w:rPr>
              <w:t>element</w:t>
            </w:r>
          </w:p>
        </w:tc>
        <w:tc>
          <w:tcPr>
            <w:tcW w:type="dxa" w:w="1152"/>
            <w:shd w:val="clear" w:color="auto" w:fill="F4F6FA"/>
          </w:tcPr>
          <w:p>
            <w:pPr>
              <w:spacing w:after="0" w:before="0"/>
            </w:pPr>
            <w:r/>
            <w:r>
              <w:rPr>
                <w:rFonts w:ascii="Calibri" w:hAnsi="Calibri"/>
                <w:b w:val="0"/>
                <w:i w:val="0"/>
                <w:sz w:val="17"/>
              </w:rPr>
              <w:t>c2.L1</w:t>
            </w:r>
          </w:p>
        </w:tc>
      </w:tr>
      <w:tr>
        <w:tc>
          <w:tcPr>
            <w:tcW w:type="dxa" w:w="864"/>
          </w:tcPr>
          <w:p>
            <w:pPr>
              <w:spacing w:after="0" w:before="0"/>
            </w:pPr>
            <w:r/>
            <w:r>
              <w:rPr>
                <w:rFonts w:ascii="Calibri" w:hAnsi="Calibri"/>
                <w:b w:val="0"/>
                <w:i w:val="0"/>
                <w:sz w:val="17"/>
              </w:rPr>
              <w:t>c3.L1.a1</w:t>
            </w:r>
          </w:p>
        </w:tc>
        <w:tc>
          <w:tcPr>
            <w:tcW w:type="dxa" w:w="6624"/>
          </w:tcPr>
          <w:p>
            <w:pPr>
              <w:spacing w:after="0" w:before="0"/>
            </w:pPr>
            <w:r/>
            <w:r>
              <w:rPr>
                <w:rFonts w:ascii="Calibri" w:hAnsi="Calibri"/>
                <w:b w:val="0"/>
                <w:i w:val="0"/>
                <w:sz w:val="17"/>
              </w:rPr>
              <w:t>wherein the patient is light perception impaired (LPI)</w:t>
            </w:r>
          </w:p>
        </w:tc>
        <w:tc>
          <w:tcPr>
            <w:tcW w:type="dxa" w:w="1152"/>
          </w:tcPr>
          <w:p>
            <w:pPr>
              <w:spacing w:after="0" w:before="0"/>
            </w:pPr>
            <w:r/>
            <w:r>
              <w:rPr>
                <w:rFonts w:ascii="Calibri" w:hAnsi="Calibri"/>
                <w:b w:val="0"/>
                <w:i w:val="0"/>
                <w:sz w:val="17"/>
              </w:rPr>
              <w:t>function</w:t>
            </w:r>
          </w:p>
        </w:tc>
        <w:tc>
          <w:tcPr>
            <w:tcW w:type="dxa" w:w="1152"/>
          </w:tcPr>
          <w:p>
            <w:pPr>
              <w:spacing w:after="0" w:before="0"/>
            </w:pPr>
            <w:r/>
            <w:r>
              <w:rPr>
                <w:rFonts w:ascii="Calibri" w:hAnsi="Calibri"/>
                <w:b w:val="0"/>
                <w:i w:val="0"/>
                <w:sz w:val="17"/>
              </w:rPr>
              <w:t>c3.L1</w:t>
            </w:r>
          </w:p>
        </w:tc>
      </w:tr>
      <w:tr>
        <w:tc>
          <w:tcPr>
            <w:tcW w:type="dxa" w:w="864"/>
            <w:shd w:val="clear" w:color="auto" w:fill="F4F6FA"/>
          </w:tcPr>
          <w:p>
            <w:pPr>
              <w:spacing w:after="0" w:before="0"/>
            </w:pPr>
            <w:r/>
            <w:r>
              <w:rPr>
                <w:rFonts w:ascii="Calibri" w:hAnsi="Calibri"/>
                <w:b w:val="0"/>
                <w:i w:val="0"/>
                <w:sz w:val="17"/>
              </w:rPr>
              <w:t>c4.L1.a1</w:t>
            </w:r>
          </w:p>
        </w:tc>
        <w:tc>
          <w:tcPr>
            <w:tcW w:type="dxa" w:w="6624"/>
            <w:shd w:val="clear" w:color="auto" w:fill="F4F6FA"/>
          </w:tcPr>
          <w:p>
            <w:pPr>
              <w:spacing w:after="0" w:before="0"/>
            </w:pPr>
            <w:r/>
            <w:r>
              <w:rPr>
                <w:rFonts w:ascii="Calibri" w:hAnsi="Calibri"/>
                <w:b w:val="0"/>
                <w:i w:val="0"/>
                <w:sz w:val="17"/>
              </w:rPr>
              <w:t>wherein treating the patient with tasimelteon comprises orally administering to the patient</w:t>
            </w:r>
          </w:p>
        </w:tc>
        <w:tc>
          <w:tcPr>
            <w:tcW w:type="dxa" w:w="1152"/>
            <w:shd w:val="clear" w:color="auto" w:fill="F4F6FA"/>
          </w:tcPr>
          <w:p>
            <w:pPr>
              <w:spacing w:after="0" w:before="0"/>
            </w:pPr>
            <w:r/>
            <w:r>
              <w:rPr>
                <w:rFonts w:ascii="Calibri" w:hAnsi="Calibri"/>
                <w:b w:val="0"/>
                <w:i w:val="0"/>
                <w:sz w:val="17"/>
              </w:rPr>
              <w:t>element</w:t>
            </w:r>
          </w:p>
        </w:tc>
        <w:tc>
          <w:tcPr>
            <w:tcW w:type="dxa" w:w="1152"/>
            <w:shd w:val="clear" w:color="auto" w:fill="F4F6FA"/>
          </w:tcPr>
          <w:p>
            <w:pPr>
              <w:spacing w:after="0" w:before="0"/>
            </w:pPr>
            <w:r/>
            <w:r>
              <w:rPr>
                <w:rFonts w:ascii="Calibri" w:hAnsi="Calibri"/>
                <w:b w:val="0"/>
                <w:i w:val="0"/>
                <w:sz w:val="17"/>
              </w:rPr>
              <w:t>c4.L1</w:t>
            </w:r>
          </w:p>
        </w:tc>
      </w:tr>
      <w:tr>
        <w:tc>
          <w:tcPr>
            <w:tcW w:type="dxa" w:w="864"/>
          </w:tcPr>
          <w:p>
            <w:pPr>
              <w:spacing w:after="0" w:before="0"/>
            </w:pPr>
            <w:r/>
            <w:r>
              <w:rPr>
                <w:rFonts w:ascii="Calibri" w:hAnsi="Calibri"/>
                <w:b w:val="0"/>
                <w:i w:val="0"/>
                <w:sz w:val="17"/>
              </w:rPr>
              <w:t>c4.L2.a1</w:t>
            </w:r>
          </w:p>
        </w:tc>
        <w:tc>
          <w:tcPr>
            <w:tcW w:type="dxa" w:w="6624"/>
          </w:tcPr>
          <w:p>
            <w:pPr>
              <w:spacing w:after="0" w:before="0"/>
            </w:pPr>
            <w:r/>
            <w:r>
              <w:rPr>
                <w:rFonts w:ascii="Calibri" w:hAnsi="Calibri"/>
                <w:b w:val="0"/>
                <w:i w:val="0"/>
                <w:sz w:val="17"/>
              </w:rPr>
              <w:t>20 mg of tasimelteon</w:t>
            </w:r>
          </w:p>
        </w:tc>
        <w:tc>
          <w:tcPr>
            <w:tcW w:type="dxa" w:w="1152"/>
          </w:tcPr>
          <w:p>
            <w:pPr>
              <w:spacing w:after="0" w:before="0"/>
            </w:pPr>
            <w:r/>
            <w:r>
              <w:rPr>
                <w:rFonts w:ascii="Calibri" w:hAnsi="Calibri"/>
                <w:b w:val="0"/>
                <w:i w:val="0"/>
                <w:sz w:val="17"/>
              </w:rPr>
              <w:t>element</w:t>
            </w:r>
          </w:p>
        </w:tc>
        <w:tc>
          <w:tcPr>
            <w:tcW w:type="dxa" w:w="1152"/>
          </w:tcPr>
          <w:p>
            <w:pPr>
              <w:spacing w:after="0" w:before="0"/>
            </w:pPr>
            <w:r/>
            <w:r>
              <w:rPr>
                <w:rFonts w:ascii="Calibri" w:hAnsi="Calibri"/>
                <w:b w:val="0"/>
                <w:i w:val="0"/>
                <w:sz w:val="17"/>
              </w:rPr>
              <w:t>c4.L2</w:t>
            </w:r>
          </w:p>
        </w:tc>
      </w:tr>
      <w:tr>
        <w:tc>
          <w:tcPr>
            <w:tcW w:type="dxa" w:w="864"/>
            <w:shd w:val="clear" w:color="auto" w:fill="F4F6FA"/>
          </w:tcPr>
          <w:p>
            <w:pPr>
              <w:spacing w:after="0" w:before="0"/>
            </w:pPr>
            <w:r/>
            <w:r>
              <w:rPr>
                <w:rFonts w:ascii="Calibri" w:hAnsi="Calibri"/>
                <w:b w:val="0"/>
                <w:i w:val="0"/>
                <w:sz w:val="17"/>
              </w:rPr>
              <w:t>c4.L3.a1</w:t>
            </w:r>
          </w:p>
        </w:tc>
        <w:tc>
          <w:tcPr>
            <w:tcW w:type="dxa" w:w="6624"/>
            <w:shd w:val="clear" w:color="auto" w:fill="F4F6FA"/>
          </w:tcPr>
          <w:p>
            <w:pPr>
              <w:spacing w:after="0" w:before="0"/>
            </w:pPr>
            <w:r/>
            <w:r>
              <w:rPr>
                <w:rFonts w:ascii="Calibri" w:hAnsi="Calibri"/>
                <w:b w:val="0"/>
                <w:i w:val="0"/>
                <w:sz w:val="17"/>
              </w:rPr>
              <w:t>once daily</w:t>
            </w:r>
          </w:p>
        </w:tc>
        <w:tc>
          <w:tcPr>
            <w:tcW w:type="dxa" w:w="1152"/>
            <w:shd w:val="clear" w:color="auto" w:fill="F4F6FA"/>
          </w:tcPr>
          <w:p>
            <w:pPr>
              <w:spacing w:after="0" w:before="0"/>
            </w:pPr>
            <w:r/>
            <w:r>
              <w:rPr>
                <w:rFonts w:ascii="Calibri" w:hAnsi="Calibri"/>
                <w:b w:val="0"/>
                <w:i w:val="0"/>
                <w:sz w:val="17"/>
              </w:rPr>
              <w:t>element</w:t>
            </w:r>
          </w:p>
        </w:tc>
        <w:tc>
          <w:tcPr>
            <w:tcW w:type="dxa" w:w="1152"/>
            <w:shd w:val="clear" w:color="auto" w:fill="F4F6FA"/>
          </w:tcPr>
          <w:p>
            <w:pPr>
              <w:spacing w:after="0" w:before="0"/>
            </w:pPr>
            <w:r/>
            <w:r>
              <w:rPr>
                <w:rFonts w:ascii="Calibri" w:hAnsi="Calibri"/>
                <w:b w:val="0"/>
                <w:i w:val="0"/>
                <w:sz w:val="17"/>
              </w:rPr>
              <w:t>c4.L3</w:t>
            </w:r>
          </w:p>
        </w:tc>
      </w:tr>
      <w:tr>
        <w:tc>
          <w:tcPr>
            <w:tcW w:type="dxa" w:w="864"/>
          </w:tcPr>
          <w:p>
            <w:pPr>
              <w:spacing w:after="0" w:before="0"/>
            </w:pPr>
            <w:r/>
            <w:r>
              <w:rPr>
                <w:rFonts w:ascii="Calibri" w:hAnsi="Calibri"/>
                <w:b w:val="0"/>
                <w:i w:val="0"/>
                <w:sz w:val="17"/>
              </w:rPr>
              <w:t>c4.L4.a1</w:t>
            </w:r>
          </w:p>
        </w:tc>
        <w:tc>
          <w:tcPr>
            <w:tcW w:type="dxa" w:w="6624"/>
          </w:tcPr>
          <w:p>
            <w:pPr>
              <w:spacing w:after="0" w:before="0"/>
            </w:pPr>
            <w:r/>
            <w:r>
              <w:rPr>
                <w:rFonts w:ascii="Calibri" w:hAnsi="Calibri"/>
                <w:b w:val="0"/>
                <w:i w:val="0"/>
                <w:sz w:val="17"/>
              </w:rPr>
              <w:t>before a target bedtime</w:t>
            </w:r>
          </w:p>
        </w:tc>
        <w:tc>
          <w:tcPr>
            <w:tcW w:type="dxa" w:w="1152"/>
          </w:tcPr>
          <w:p>
            <w:pPr>
              <w:spacing w:after="0" w:before="0"/>
            </w:pPr>
            <w:r/>
            <w:r>
              <w:rPr>
                <w:rFonts w:ascii="Calibri" w:hAnsi="Calibri"/>
                <w:b w:val="0"/>
                <w:i w:val="0"/>
                <w:sz w:val="17"/>
              </w:rPr>
              <w:t>element</w:t>
            </w:r>
          </w:p>
        </w:tc>
        <w:tc>
          <w:tcPr>
            <w:tcW w:type="dxa" w:w="1152"/>
          </w:tcPr>
          <w:p>
            <w:pPr>
              <w:spacing w:after="0" w:before="0"/>
            </w:pPr>
            <w:r/>
            <w:r>
              <w:rPr>
                <w:rFonts w:ascii="Calibri" w:hAnsi="Calibri"/>
                <w:b w:val="0"/>
                <w:i w:val="0"/>
                <w:sz w:val="17"/>
              </w:rPr>
              <w:t>c4.L4</w:t>
            </w:r>
          </w:p>
        </w:tc>
      </w:tr>
    </w:tbl>
    <w:p>
      <w:pPr>
        <w:spacing w:after="40" w:before="0"/>
      </w:pPr>
    </w:p>
    <w:p>
      <w:pPr>
        <w:spacing w:after="80" w:before="0"/>
      </w:pPr>
      <w:r>
        <w:rPr>
          <w:rFonts w:ascii="Calibri" w:hAnsi="Calibri"/>
          <w:b w:val="0"/>
          <w:i/>
          <w:color w:val="595959"/>
          <w:sz w:val="16"/>
        </w:rPr>
        <w:t>Retrieval vocabulary. Each limitation's synonyms and re-phrasings drove one search lane across the whole index (not confined to a classification territory) so art that names the same requirement in other words could be fetched. Retrieval only: every grade above rests on the verbatim limitation. c1.L1.a1: circadian rhythm disorder, circadian rhythm, treating a chronobiological disorder, managing a sleep-wake cycle disorder, treating a diurnal rhythm abnormality, correcting circadian misalignment, treating non-24-hour sleep-wake disorder, treating jet lag disorder. c1.L1.a2: treated rifampicin, receiving rifampin therapy, undergoing rifampicin treatment, administered rifampin concomitantly, on a rifampicin regimen, co-treated with rifampin, rifampicin-treated subject, rifampicin 600 mg daily. c1.L2.a1: tasimelteon, discontinuing rifampicin, tasimelteon avoiding, managing cyp3a4 induction effects, sequential drug therapy switching. c2.L1.a1: non-24-hour sleep-wake disorder, non-24-hour, sleep-wake, non-24 sleep disorder treatment, free-running sleep disorder therapy, non-24 circadian disorder management, treating non-24 condition, managing hypernychthemeral syndrome. c3.L1.a1: light perception, perception impaired, impaired lpi, totally blind patient, patient lacking light perception, no light perception subject, patient with absent light perception, bilaterally enucleated patient. c4.L1.a1: tasimelteon, tasimelteon comprises, comprises orally, oral dosing of tasimelteon, administering tasimelteon by mouth, per os administration of tasimelteon, oral capsule administration, oral delivery of vec-162. c4.L2.a1: tasimelteon, 20 mg dose of vec-162, 20 milligrams of bms-214778, 20 mg tasimelteonum capsule, 20 mg hetlioz capsule, 20 mg dose of compound 609799-22-6, 20 mg tasimelteon capsule formulation, two 10 mg tasimelteon capsules. c4.L3.a1: once a day, qd dosing, single daily dose, every 24 hours, one administration per day, daily single dose, once nightly dosing, once daily at bedtime. c4.L4.a1: prior to scheduled sleep time, preceding intended sleep onset, shortly before retiring, ahead of planned sleep period, prior to nightly retirement time, before the intended bedtime hour, one hour before bedtime, 30 minutes before bedtime.</w:t>
      </w:r>
    </w:p>
    <w:p>
      <w:pPr>
        <w:spacing w:after="80" w:before="0"/>
      </w:pPr>
      <w:r>
        <w:rPr>
          <w:rFonts w:ascii="Calibri" w:hAnsi="Calibri"/>
          <w:b w:val="0"/>
          <w:i/>
          <w:color w:val="595959"/>
          <w:sz w:val="17"/>
        </w:rPr>
        <w:t>The ledger is the unit of everything that follows: rows of the matrix, targets of grading, arguments of the set cover, subjects of resolution and purchase. Kind and parent come from the decomposer; for a method claim the dependency between steps is their order, which the ledger preserves.</w:t>
      </w:r>
    </w:p>
    <w:p>
      <w:pPr>
        <w:keepNext/>
        <w:spacing w:before="240" w:after="60"/>
        <w:pBdr>
          <w:bottom w:val="single" w:sz="4" w:color="C9A227"/>
        </w:pBdr>
      </w:pPr>
      <w:r>
        <w:rPr>
          <w:rFonts w:ascii="Calibri Light" w:hAnsi="Calibri Light"/>
          <w:b/>
          <w:i w:val="0"/>
          <w:color w:val="C9A227"/>
          <w:sz w:val="30"/>
        </w:rPr>
        <w:t xml:space="preserve">03  </w:t>
      </w:r>
      <w:r>
        <w:rPr>
          <w:rFonts w:ascii="Calibri Light" w:hAnsi="Calibri Light"/>
          <w:b w:val="0"/>
          <w:i w:val="0"/>
          <w:color w:val="142B4A"/>
          <w:sz w:val="30"/>
        </w:rPr>
        <w:t>Limitation-by-limitation coverage — the combination's own evidence</w:t>
      </w:r>
    </w:p>
    <w:p>
      <w:pPr>
        <w:spacing w:after="80" w:before="0"/>
      </w:pPr>
      <w:r>
        <w:rPr>
          <w:rFonts w:ascii="Calibri" w:hAnsi="Calibri"/>
          <w:b w:val="0"/>
          <w:i w:val="0"/>
          <w:sz w:val="18"/>
        </w:rPr>
        <w:t>Evidence is drawn from the 4-member combination in 04, not from a best-of-pool table, so 03 and 04 tell one story. Grade is the engine's six-state tier; every grade above NOT FOUND carries a verbatim quote verified against the reference text, and an untraceable quote is demoted one band and flagged. The engine records no numeric confidence: the tier, the verified quote and the rationale are the evidence.</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720"/>
            <w:shd w:val="clear" w:color="auto" w:fill="142B4A"/>
          </w:tcPr>
          <w:p>
            <w:pPr>
              <w:spacing w:after="0" w:before="0"/>
            </w:pPr>
            <w:r/>
            <w:r>
              <w:rPr>
                <w:rFonts w:ascii="Calibri" w:hAnsi="Calibri"/>
                <w:b/>
                <w:i w:val="0"/>
                <w:color w:val="C9A227"/>
                <w:sz w:val="15"/>
              </w:rPr>
              <w:t>LIM.</w:t>
            </w:r>
          </w:p>
        </w:tc>
        <w:tc>
          <w:tcPr>
            <w:tcW w:type="dxa" w:w="2160"/>
            <w:shd w:val="clear" w:color="auto" w:fill="142B4A"/>
          </w:tcPr>
          <w:p>
            <w:pPr>
              <w:spacing w:after="0" w:before="0"/>
            </w:pPr>
            <w:r/>
            <w:r>
              <w:rPr>
                <w:rFonts w:ascii="Calibri" w:hAnsi="Calibri"/>
                <w:b/>
                <w:i w:val="0"/>
                <w:color w:val="C9A227"/>
                <w:sz w:val="15"/>
              </w:rPr>
              <w:t>ELEMENT</w:t>
            </w:r>
          </w:p>
        </w:tc>
        <w:tc>
          <w:tcPr>
            <w:tcW w:type="dxa" w:w="1728"/>
            <w:shd w:val="clear" w:color="auto" w:fill="142B4A"/>
          </w:tcPr>
          <w:p>
            <w:pPr>
              <w:spacing w:after="0" w:before="0"/>
            </w:pPr>
            <w:r/>
            <w:r>
              <w:rPr>
                <w:rFonts w:ascii="Calibri" w:hAnsi="Calibri"/>
                <w:b/>
                <w:i w:val="0"/>
                <w:color w:val="C9A227"/>
                <w:sz w:val="15"/>
              </w:rPr>
              <w:t>REFERENCE</w:t>
            </w:r>
          </w:p>
        </w:tc>
        <w:tc>
          <w:tcPr>
            <w:tcW w:type="dxa" w:w="1440"/>
            <w:shd w:val="clear" w:color="auto" w:fill="142B4A"/>
          </w:tcPr>
          <w:p>
            <w:pPr>
              <w:spacing w:after="0" w:before="0"/>
            </w:pPr>
            <w:r/>
            <w:r>
              <w:rPr>
                <w:rFonts w:ascii="Calibri" w:hAnsi="Calibri"/>
                <w:b/>
                <w:i w:val="0"/>
                <w:color w:val="C9A227"/>
                <w:sz w:val="15"/>
              </w:rPr>
              <w:t>GRADE / TRACE</w:t>
            </w:r>
          </w:p>
        </w:tc>
        <w:tc>
          <w:tcPr>
            <w:tcW w:type="dxa" w:w="2880"/>
            <w:shd w:val="clear" w:color="auto" w:fill="142B4A"/>
          </w:tcPr>
          <w:p>
            <w:pPr>
              <w:spacing w:after="0" w:before="0"/>
            </w:pPr>
            <w:r/>
            <w:r>
              <w:rPr>
                <w:rFonts w:ascii="Calibri" w:hAnsi="Calibri"/>
                <w:b/>
                <w:i w:val="0"/>
                <w:color w:val="C9A227"/>
                <w:sz w:val="15"/>
              </w:rPr>
              <w:t>DISCLOSURE RELIED ON</w:t>
            </w:r>
          </w:p>
        </w:tc>
        <w:tc>
          <w:tcPr>
            <w:tcW w:type="dxa" w:w="2160"/>
            <w:shd w:val="clear" w:color="auto" w:fill="142B4A"/>
          </w:tcPr>
          <w:p>
            <w:pPr>
              <w:spacing w:after="0" w:before="0"/>
            </w:pPr>
            <w:r/>
            <w:r>
              <w:rPr>
                <w:rFonts w:ascii="Calibri" w:hAnsi="Calibri"/>
                <w:b/>
                <w:i w:val="0"/>
                <w:color w:val="C9A227"/>
                <w:sz w:val="15"/>
              </w:rPr>
              <w:t>RATIONALE</w:t>
            </w:r>
          </w:p>
        </w:tc>
      </w:tr>
      <w:tr>
        <w:tc>
          <w:tcPr>
            <w:tcW w:type="dxa" w:w="720"/>
          </w:tcPr>
          <w:p>
            <w:pPr>
              <w:spacing w:after="0" w:before="0"/>
            </w:pPr>
            <w:r/>
            <w:r>
              <w:rPr>
                <w:rFonts w:ascii="Calibri" w:hAnsi="Calibri"/>
                <w:b w:val="0"/>
                <w:i w:val="0"/>
                <w:sz w:val="16"/>
              </w:rPr>
              <w:t>c1.L1.a1</w:t>
            </w:r>
          </w:p>
        </w:tc>
        <w:tc>
          <w:tcPr>
            <w:tcW w:type="dxa" w:w="2160"/>
          </w:tcPr>
          <w:p>
            <w:pPr>
              <w:spacing w:after="0" w:before="0"/>
            </w:pPr>
            <w:r/>
            <w:r>
              <w:rPr>
                <w:rFonts w:ascii="Calibri" w:hAnsi="Calibri"/>
                <w:b w:val="0"/>
                <w:i w:val="0"/>
                <w:sz w:val="16"/>
              </w:rPr>
              <w:t>A method of treating a patient for a circadian rhythm disorder</w:t>
            </w:r>
          </w:p>
        </w:tc>
        <w:tc>
          <w:tcPr>
            <w:tcW w:type="dxa" w:w="1728"/>
          </w:tcPr>
          <w:p>
            <w:pPr>
              <w:spacing w:after="0" w:before="0"/>
            </w:pPr>
            <w:r/>
            <w:r>
              <w:rPr>
                <w:rFonts w:ascii="Calibri" w:hAnsi="Calibri"/>
                <w:b/>
                <w:i w:val="0"/>
                <w:color w:val="142B4A"/>
                <w:sz w:val="16"/>
              </w:rPr>
              <w:t>US20040044064A1 (Lewy et al.)</w:t>
            </w:r>
            <w:r>
              <w:rPr>
                <w:rFonts w:ascii="Calibri" w:hAnsi="Calibri"/>
                <w:b w:val="0"/>
                <w:i w:val="0"/>
                <w:color w:val="595959"/>
                <w:sz w:val="16"/>
              </w:rPr>
              <w:br/>
              <w:t>2004-03-04 · full text</w:t>
            </w:r>
          </w:p>
        </w:tc>
        <w:tc>
          <w:tcPr>
            <w:tcW w:type="dxa" w:w="1440"/>
          </w:tcPr>
          <w:p>
            <w:pPr>
              <w:spacing w:after="0" w:before="0"/>
            </w:pPr>
            <w:r/>
            <w:r>
              <w:rPr>
                <w:rFonts w:ascii="Calibri" w:hAnsi="Calibri"/>
                <w:b/>
                <w:i w:val="0"/>
                <w:color w:val="142B4A"/>
                <w:sz w:val="16"/>
              </w:rPr>
              <w:t>PARTIAL · quote verified</w:t>
            </w:r>
          </w:p>
        </w:tc>
        <w:tc>
          <w:tcPr>
            <w:tcW w:type="dxa" w:w="2880"/>
          </w:tcPr>
          <w:p>
            <w:pPr>
              <w:spacing w:after="0" w:before="0"/>
            </w:pPr>
            <w:r/>
            <w:r>
              <w:rPr>
                <w:rFonts w:ascii="Calibri" w:hAnsi="Calibri"/>
                <w:b w:val="0"/>
                <w:i w:val="0"/>
                <w:sz w:val="16"/>
              </w:rPr>
              <w:t>“A method for alleviating a circadian rhythm disorder in a human, the method comprising the step of achieving a circadian phase-delaying effect in the human according to the method of claims 1 , 2 , 3 or 4 .”</w:t>
            </w:r>
            <w:r>
              <w:rPr>
                <w:rFonts w:ascii="Calibri" w:hAnsi="Calibri"/>
                <w:b w:val="0"/>
                <w:i w:val="0"/>
                <w:color w:val="595959"/>
                <w:sz w:val="16"/>
              </w:rPr>
              <w:t xml:space="preserve"> — Claim 11</w:t>
            </w:r>
          </w:p>
        </w:tc>
        <w:tc>
          <w:tcPr>
            <w:tcW w:type="dxa" w:w="2160"/>
          </w:tcPr>
          <w:p>
            <w:pPr>
              <w:spacing w:after="0" w:before="0"/>
            </w:pPr>
            <w:r/>
            <w:r>
              <w:rPr>
                <w:rFonts w:ascii="Calibri" w:hAnsi="Calibri"/>
                <w:b w:val="0"/>
                <w:i w:val="0"/>
                <w:sz w:val="16"/>
              </w:rPr>
              <w:t>Reference discloses treating circadian rhythm disorders but not the same disorder framework as claimed.</w:t>
            </w:r>
            <w:r>
              <w:rPr>
                <w:rFonts w:ascii="Calibri" w:hAnsi="Calibri"/>
                <w:b w:val="0"/>
                <w:i w:val="0"/>
                <w:color w:val="142B4A"/>
                <w:sz w:val="16"/>
              </w:rPr>
              <w:br/>
              <w:t>Inference rests on: “A method for alleviating a circadian rhythm disorder in a human, the method comprising the step of achieving a circadian phase-delaying effect in the human according to the method of claims 1 , 2 , 3 or 4 .”</w:t>
            </w:r>
          </w:p>
        </w:tc>
      </w:tr>
      <w:tr>
        <w:tc>
          <w:tcPr>
            <w:tcW w:type="dxa" w:w="720"/>
            <w:shd w:val="clear" w:color="auto" w:fill="F4F6FA"/>
          </w:tcPr>
          <w:p>
            <w:pPr>
              <w:spacing w:after="0" w:before="0"/>
            </w:pPr>
            <w:r/>
            <w:r>
              <w:rPr>
                <w:rFonts w:ascii="Calibri" w:hAnsi="Calibri"/>
                <w:b w:val="0"/>
                <w:i w:val="0"/>
                <w:sz w:val="16"/>
              </w:rPr>
              <w:t>c1.L1.a2</w:t>
            </w:r>
          </w:p>
        </w:tc>
        <w:tc>
          <w:tcPr>
            <w:tcW w:type="dxa" w:w="2160"/>
            <w:shd w:val="clear" w:color="auto" w:fill="F4F6FA"/>
          </w:tcPr>
          <w:p>
            <w:pPr>
              <w:spacing w:after="0" w:before="0"/>
            </w:pPr>
            <w:r/>
            <w:r>
              <w:rPr>
                <w:rFonts w:ascii="Calibri" w:hAnsi="Calibri"/>
                <w:b w:val="0"/>
                <w:i w:val="0"/>
                <w:sz w:val="16"/>
              </w:rPr>
              <w:t>wherein the patient is being treated with rifampicin</w:t>
            </w:r>
          </w:p>
        </w:tc>
        <w:tc>
          <w:tcPr>
            <w:tcW w:type="dxa" w:w="1728"/>
            <w:shd w:val="clear" w:color="auto" w:fill="F4F6FA"/>
          </w:tcPr>
          <w:p>
            <w:pPr>
              <w:spacing w:after="0" w:before="0"/>
            </w:pPr>
            <w:r/>
            <w:r>
              <w:rPr>
                <w:rFonts w:ascii="Calibri" w:hAnsi="Calibri"/>
                <w:b/>
                <w:i w:val="0"/>
                <w:color w:val="142B4A"/>
                <w:sz w:val="16"/>
              </w:rPr>
              <w:t>EP2308491B1 (Bradford et al.)</w:t>
            </w:r>
            <w:r>
              <w:rPr>
                <w:rFonts w:ascii="Calibri" w:hAnsi="Calibri"/>
                <w:b w:val="0"/>
                <w:i w:val="0"/>
                <w:color w:val="595959"/>
                <w:sz w:val="16"/>
              </w:rPr>
              <w:br/>
              <w:t>2011-09-07 · full text</w:t>
            </w:r>
          </w:p>
        </w:tc>
        <w:tc>
          <w:tcPr>
            <w:tcW w:type="dxa" w:w="1440"/>
            <w:shd w:val="clear" w:color="auto" w:fill="F4F6FA"/>
          </w:tcPr>
          <w:p>
            <w:pPr>
              <w:spacing w:after="0" w:before="0"/>
            </w:pPr>
            <w:r/>
            <w:r>
              <w:rPr>
                <w:rFonts w:ascii="Calibri" w:hAnsi="Calibri"/>
                <w:b/>
                <w:i w:val="0"/>
                <w:color w:val="2E7D32"/>
                <w:sz w:val="16"/>
              </w:rPr>
              <w:t>EXPLICIT · quote verified</w:t>
            </w:r>
          </w:p>
        </w:tc>
        <w:tc>
          <w:tcPr>
            <w:tcW w:type="dxa" w:w="2880"/>
            <w:shd w:val="clear" w:color="auto" w:fill="F4F6FA"/>
          </w:tcPr>
          <w:p>
            <w:pPr>
              <w:spacing w:after="0" w:before="0"/>
            </w:pPr>
            <w:r/>
            <w:r>
              <w:rPr>
                <w:rFonts w:ascii="Calibri" w:hAnsi="Calibri"/>
                <w:b w:val="0"/>
                <w:i w:val="0"/>
                <w:sz w:val="16"/>
              </w:rPr>
              <w:t>“wherein the strong inducer is cigarette smoke, smoking or rifampicin”</w:t>
            </w:r>
            <w:r>
              <w:rPr>
                <w:rFonts w:ascii="Calibri" w:hAnsi="Calibri"/>
                <w:b w:val="0"/>
                <w:i w:val="0"/>
                <w:color w:val="595959"/>
                <w:sz w:val="16"/>
              </w:rPr>
              <w:t xml:space="preserve"> — Claims</w:t>
            </w:r>
          </w:p>
        </w:tc>
        <w:tc>
          <w:tcPr>
            <w:tcW w:type="dxa" w:w="2160"/>
            <w:shd w:val="clear" w:color="auto" w:fill="F4F6FA"/>
          </w:tcPr>
          <w:p>
            <w:pPr>
              <w:spacing w:after="0" w:before="0"/>
            </w:pPr>
            <w:r/>
            <w:r>
              <w:rPr>
                <w:rFonts w:ascii="Calibri" w:hAnsi="Calibri"/>
                <w:b w:val="0"/>
                <w:i w:val="0"/>
                <w:sz w:val="16"/>
              </w:rPr>
              <w:t>Reference discloses patients being treated with rifampicin as CYP inducer.</w:t>
            </w:r>
          </w:p>
        </w:tc>
      </w:tr>
      <w:tr>
        <w:tc>
          <w:tcPr>
            <w:tcW w:type="dxa" w:w="720"/>
          </w:tcPr>
          <w:p>
            <w:pPr>
              <w:spacing w:after="0" w:before="0"/>
            </w:pPr>
            <w:r/>
            <w:r>
              <w:rPr>
                <w:rFonts w:ascii="Calibri" w:hAnsi="Calibri"/>
                <w:b w:val="0"/>
                <w:i w:val="0"/>
                <w:sz w:val="16"/>
              </w:rPr>
              <w:t>c1.L2.a1</w:t>
            </w:r>
          </w:p>
        </w:tc>
        <w:tc>
          <w:tcPr>
            <w:tcW w:type="dxa" w:w="2160"/>
          </w:tcPr>
          <w:p>
            <w:pPr>
              <w:spacing w:after="0" w:before="0"/>
            </w:pPr>
            <w:r/>
            <w:r>
              <w:rPr>
                <w:rFonts w:ascii="Calibri" w:hAnsi="Calibri"/>
                <w:b w:val="0"/>
                <w:i w:val="0"/>
                <w:sz w:val="16"/>
              </w:rPr>
              <w:t>(A) discontinuing the rifampicin treatment and then (B) treating the…</w:t>
            </w:r>
          </w:p>
        </w:tc>
        <w:tc>
          <w:tcPr>
            <w:tcW w:type="dxa" w:w="1728"/>
          </w:tcPr>
          <w:p>
            <w:pPr>
              <w:spacing w:after="0" w:before="0"/>
            </w:pPr>
            <w:r/>
            <w:r>
              <w:rPr>
                <w:rFonts w:ascii="Calibri" w:hAnsi="Calibri"/>
                <w:b/>
                <w:i w:val="0"/>
                <w:color w:val="142B4A"/>
                <w:sz w:val="16"/>
              </w:rPr>
              <w:t>US20100056622A1 (Lauterbach)</w:t>
            </w:r>
            <w:r>
              <w:rPr>
                <w:rFonts w:ascii="Calibri" w:hAnsi="Calibri"/>
                <w:b w:val="0"/>
                <w:i w:val="0"/>
                <w:color w:val="595959"/>
                <w:sz w:val="16"/>
              </w:rPr>
              <w:br/>
              <w:t>2010-03-04 · full text</w:t>
            </w:r>
          </w:p>
        </w:tc>
        <w:tc>
          <w:tcPr>
            <w:tcW w:type="dxa" w:w="1440"/>
          </w:tcPr>
          <w:p>
            <w:pPr>
              <w:spacing w:after="0" w:before="0"/>
            </w:pPr>
            <w:r/>
            <w:r>
              <w:rPr>
                <w:rFonts w:ascii="Calibri" w:hAnsi="Calibri"/>
                <w:b/>
                <w:i w:val="0"/>
                <w:color w:val="142B4A"/>
                <w:sz w:val="16"/>
              </w:rPr>
              <w:t>PARTIAL · quote verified</w:t>
            </w:r>
          </w:p>
        </w:tc>
        <w:tc>
          <w:tcPr>
            <w:tcW w:type="dxa" w:w="2880"/>
          </w:tcPr>
          <w:p>
            <w:pPr>
              <w:spacing w:after="0" w:before="0"/>
            </w:pPr>
            <w:r/>
            <w:r>
              <w:rPr>
                <w:rFonts w:ascii="Calibri" w:hAnsi="Calibri"/>
                <w:b w:val="0"/>
                <w:i w:val="0"/>
                <w:sz w:val="16"/>
              </w:rPr>
              <w:t>“inducers of 2C9 such as rifampin, and secobarbital”</w:t>
            </w:r>
            <w:r>
              <w:rPr>
                <w:rFonts w:ascii="Calibri" w:hAnsi="Calibri"/>
                <w:b w:val="0"/>
                <w:i w:val="0"/>
                <w:color w:val="595959"/>
                <w:sz w:val="16"/>
              </w:rPr>
              <w:t xml:space="preserve"> — Detailed Description, drug interaction list</w:t>
            </w:r>
          </w:p>
        </w:tc>
        <w:tc>
          <w:tcPr>
            <w:tcW w:type="dxa" w:w="2160"/>
          </w:tcPr>
          <w:p>
            <w:pPr>
              <w:spacing w:after="0" w:before="0"/>
            </w:pPr>
            <w:r/>
            <w:r>
              <w:rPr>
                <w:rFonts w:ascii="Calibri" w:hAnsi="Calibri"/>
                <w:b w:val="0"/>
                <w:i w:val="0"/>
                <w:sz w:val="16"/>
              </w:rPr>
              <w:t>Rifampin is listed as a drug to avoid/discontinue before ramelteon treatment, but no discontinue-then-treat method tied to tasimelteon or CYP3A4 induction avoidance is disclosed.</w:t>
            </w:r>
            <w:r>
              <w:rPr>
                <w:rFonts w:ascii="Calibri" w:hAnsi="Calibri"/>
                <w:b w:val="0"/>
                <w:i w:val="0"/>
                <w:color w:val="142B4A"/>
                <w:sz w:val="16"/>
              </w:rPr>
              <w:br/>
              <w:t>Inference rests on: “(4) inducers of 2C9 such as rifampin, and secobarbital”</w:t>
            </w:r>
          </w:p>
        </w:tc>
      </w:tr>
      <w:tr>
        <w:tc>
          <w:tcPr>
            <w:tcW w:type="dxa" w:w="720"/>
            <w:shd w:val="clear" w:color="auto" w:fill="F4F6FA"/>
          </w:tcPr>
          <w:p>
            <w:pPr>
              <w:spacing w:after="0" w:before="0"/>
            </w:pPr>
            <w:r/>
            <w:r>
              <w:rPr>
                <w:rFonts w:ascii="Calibri" w:hAnsi="Calibri"/>
                <w:b w:val="0"/>
                <w:i w:val="0"/>
                <w:sz w:val="16"/>
              </w:rPr>
              <w:t>c2.L1.a1</w:t>
            </w:r>
          </w:p>
        </w:tc>
        <w:tc>
          <w:tcPr>
            <w:tcW w:type="dxa" w:w="2160"/>
            <w:shd w:val="clear" w:color="auto" w:fill="F4F6FA"/>
          </w:tcPr>
          <w:p>
            <w:pPr>
              <w:spacing w:after="0" w:before="0"/>
            </w:pPr>
            <w:r/>
            <w:r>
              <w:rPr>
                <w:rFonts w:ascii="Calibri" w:hAnsi="Calibri"/>
                <w:b w:val="0"/>
                <w:i w:val="0"/>
                <w:sz w:val="16"/>
              </w:rPr>
              <w:t>treating the patient for Non-24-Hour Sleep-Wake Disorder</w:t>
            </w:r>
          </w:p>
        </w:tc>
        <w:tc>
          <w:tcPr>
            <w:tcW w:type="dxa" w:w="1728"/>
            <w:shd w:val="clear" w:color="auto" w:fill="F4F6FA"/>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br/>
              <w:t>2010-10-11 · abstract (screening grade)</w:t>
            </w:r>
          </w:p>
        </w:tc>
        <w:tc>
          <w:tcPr>
            <w:tcW w:type="dxa" w:w="1440"/>
            <w:shd w:val="clear" w:color="auto" w:fill="F4F6FA"/>
          </w:tcPr>
          <w:p>
            <w:pPr>
              <w:spacing w:after="0" w:before="0"/>
            </w:pPr>
            <w:r/>
            <w:r>
              <w:rPr>
                <w:rFonts w:ascii="Calibri" w:hAnsi="Calibri"/>
                <w:b/>
                <w:i w:val="0"/>
                <w:color w:val="2E7D32"/>
                <w:sz w:val="16"/>
              </w:rPr>
              <w:t>EXPLICIT · quote verified</w:t>
            </w:r>
          </w:p>
        </w:tc>
        <w:tc>
          <w:tcPr>
            <w:tcW w:type="dxa" w:w="2880"/>
            <w:shd w:val="clear" w:color="auto" w:fill="F4F6FA"/>
          </w:tcPr>
          <w:p>
            <w:pPr>
              <w:spacing w:after="0" w:before="0"/>
            </w:pPr>
            <w:r/>
            <w:r>
              <w:rPr>
                <w:rFonts w:ascii="Calibri" w:hAnsi="Calibri"/>
                <w:b w:val="0"/>
                <w:i w:val="0"/>
                <w:sz w:val="16"/>
              </w:rPr>
              <w:t>“Open-Label Safety Study of a 1-Year 20 mg Dose Regimen of Tasimelteon for Treatment of Non-24-Hour-Sleep-Wake Disorder (N24HSWD) in Blind Individuals With No Light Perception”</w:t>
            </w:r>
            <w:r>
              <w:rPr>
                <w:rFonts w:ascii="Calibri" w:hAnsi="Calibri"/>
                <w:b w:val="0"/>
                <w:i w:val="0"/>
                <w:color w:val="595959"/>
                <w:sz w:val="16"/>
              </w:rPr>
              <w:t xml:space="preserve"> — Title</w:t>
            </w:r>
          </w:p>
        </w:tc>
        <w:tc>
          <w:tcPr>
            <w:tcW w:type="dxa" w:w="2160"/>
            <w:shd w:val="clear" w:color="auto" w:fill="F4F6FA"/>
          </w:tcPr>
          <w:p>
            <w:pPr>
              <w:spacing w:after="0" w:before="0"/>
            </w:pPr>
            <w:r/>
            <w:r>
              <w:rPr>
                <w:rFonts w:ascii="Calibri" w:hAnsi="Calibri"/>
                <w:b w:val="0"/>
                <w:i w:val="0"/>
                <w:sz w:val="16"/>
              </w:rPr>
              <w:t>Directly discloses treating patients for Non-24-Hour Sleep-Wake Disorder with tasimelteon.</w:t>
            </w:r>
          </w:p>
        </w:tc>
      </w:tr>
      <w:tr>
        <w:tc>
          <w:tcPr>
            <w:tcW w:type="dxa" w:w="720"/>
          </w:tcPr>
          <w:p>
            <w:pPr>
              <w:spacing w:after="0" w:before="0"/>
            </w:pPr>
            <w:r/>
            <w:r>
              <w:rPr>
                <w:rFonts w:ascii="Calibri" w:hAnsi="Calibri"/>
                <w:b w:val="0"/>
                <w:i w:val="0"/>
                <w:sz w:val="16"/>
              </w:rPr>
              <w:t>c3.L1.a1</w:t>
            </w:r>
          </w:p>
        </w:tc>
        <w:tc>
          <w:tcPr>
            <w:tcW w:type="dxa" w:w="2160"/>
          </w:tcPr>
          <w:p>
            <w:pPr>
              <w:spacing w:after="0" w:before="0"/>
            </w:pPr>
            <w:r/>
            <w:r>
              <w:rPr>
                <w:rFonts w:ascii="Calibri" w:hAnsi="Calibri"/>
                <w:b w:val="0"/>
                <w:i w:val="0"/>
                <w:sz w:val="16"/>
              </w:rPr>
              <w:t>wherein the patient is light perception impaired (LPI)</w:t>
            </w:r>
          </w:p>
        </w:tc>
        <w:tc>
          <w:tcPr>
            <w:tcW w:type="dxa" w:w="1728"/>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br/>
              <w:t>2010-10-11 · abstract (screening grade)</w:t>
            </w:r>
          </w:p>
        </w:tc>
        <w:tc>
          <w:tcPr>
            <w:tcW w:type="dxa" w:w="1440"/>
          </w:tcPr>
          <w:p>
            <w:pPr>
              <w:spacing w:after="0" w:before="0"/>
            </w:pPr>
            <w:r/>
            <w:r>
              <w:rPr>
                <w:rFonts w:ascii="Calibri" w:hAnsi="Calibri"/>
                <w:b/>
                <w:i w:val="0"/>
                <w:color w:val="2E7D32"/>
                <w:sz w:val="16"/>
              </w:rPr>
              <w:t>EXPLICIT · quote verified</w:t>
            </w:r>
          </w:p>
        </w:tc>
        <w:tc>
          <w:tcPr>
            <w:tcW w:type="dxa" w:w="2880"/>
          </w:tcPr>
          <w:p>
            <w:pPr>
              <w:spacing w:after="0" w:before="0"/>
            </w:pPr>
            <w:r/>
            <w:r>
              <w:rPr>
                <w:rFonts w:ascii="Calibri" w:hAnsi="Calibri"/>
                <w:b w:val="0"/>
                <w:i w:val="0"/>
                <w:sz w:val="16"/>
              </w:rPr>
              <w:t>“in Blind Individuals With No Light Perception”</w:t>
            </w:r>
            <w:r>
              <w:rPr>
                <w:rFonts w:ascii="Calibri" w:hAnsi="Calibri"/>
                <w:b w:val="0"/>
                <w:i w:val="0"/>
                <w:color w:val="595959"/>
                <w:sz w:val="16"/>
              </w:rPr>
              <w:t xml:space="preserve"> — Title</w:t>
            </w:r>
          </w:p>
        </w:tc>
        <w:tc>
          <w:tcPr>
            <w:tcW w:type="dxa" w:w="2160"/>
          </w:tcPr>
          <w:p>
            <w:pPr>
              <w:spacing w:after="0" w:before="0"/>
            </w:pPr>
            <w:r/>
            <w:r>
              <w:rPr>
                <w:rFonts w:ascii="Calibri" w:hAnsi="Calibri"/>
                <w:b w:val="0"/>
                <w:i w:val="0"/>
                <w:sz w:val="16"/>
              </w:rPr>
              <w:t>Patients are explicitly light perception impaired (blind, no light perception).</w:t>
            </w:r>
          </w:p>
        </w:tc>
      </w:tr>
      <w:tr>
        <w:tc>
          <w:tcPr>
            <w:tcW w:type="dxa" w:w="720"/>
            <w:shd w:val="clear" w:color="auto" w:fill="F4F6FA"/>
          </w:tcPr>
          <w:p>
            <w:pPr>
              <w:spacing w:after="0" w:before="0"/>
            </w:pPr>
            <w:r/>
            <w:r>
              <w:rPr>
                <w:rFonts w:ascii="Calibri" w:hAnsi="Calibri"/>
                <w:b w:val="0"/>
                <w:i w:val="0"/>
                <w:sz w:val="16"/>
              </w:rPr>
              <w:t>c4.L1.a1</w:t>
            </w:r>
          </w:p>
        </w:tc>
        <w:tc>
          <w:tcPr>
            <w:tcW w:type="dxa" w:w="2160"/>
            <w:shd w:val="clear" w:color="auto" w:fill="F4F6FA"/>
          </w:tcPr>
          <w:p>
            <w:pPr>
              <w:spacing w:after="0" w:before="0"/>
            </w:pPr>
            <w:r/>
            <w:r>
              <w:rPr>
                <w:rFonts w:ascii="Calibri" w:hAnsi="Calibri"/>
                <w:b w:val="0"/>
                <w:i w:val="0"/>
                <w:sz w:val="16"/>
              </w:rPr>
              <w:t>wherein treating the patient with tasimelteon comprises orally…</w:t>
            </w:r>
          </w:p>
        </w:tc>
        <w:tc>
          <w:tcPr>
            <w:tcW w:type="dxa" w:w="1728"/>
            <w:shd w:val="clear" w:color="auto" w:fill="F4F6FA"/>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br/>
              <w:t>2010-10-11 · abstract (screening grade)</w:t>
            </w:r>
          </w:p>
        </w:tc>
        <w:tc>
          <w:tcPr>
            <w:tcW w:type="dxa" w:w="1440"/>
            <w:shd w:val="clear" w:color="auto" w:fill="F4F6FA"/>
          </w:tcPr>
          <w:p>
            <w:pPr>
              <w:spacing w:after="0" w:before="0"/>
            </w:pPr>
            <w:r/>
            <w:r>
              <w:rPr>
                <w:rFonts w:ascii="Calibri" w:hAnsi="Calibri"/>
                <w:b/>
                <w:i w:val="0"/>
                <w:color w:val="2E7D32"/>
                <w:sz w:val="16"/>
              </w:rPr>
              <w:t>EXPLICIT · quote verified</w:t>
            </w:r>
          </w:p>
        </w:tc>
        <w:tc>
          <w:tcPr>
            <w:tcW w:type="dxa" w:w="2880"/>
            <w:shd w:val="clear" w:color="auto" w:fill="F4F6FA"/>
          </w:tcPr>
          <w:p>
            <w:pPr>
              <w:spacing w:after="0" w:before="0"/>
            </w:pPr>
            <w:r/>
            <w:r>
              <w:rPr>
                <w:rFonts w:ascii="Calibri" w:hAnsi="Calibri"/>
                <w:b w:val="0"/>
                <w:i w:val="0"/>
                <w:sz w:val="16"/>
              </w:rPr>
              <w:t>“patients will be asked to take 20 mg tasimelteon daily approximately 60 minutes prior to their target bedtime”</w:t>
            </w:r>
            <w:r>
              <w:rPr>
                <w:rFonts w:ascii="Calibri" w:hAnsi="Calibri"/>
                <w:b w:val="0"/>
                <w:i w:val="0"/>
                <w:color w:val="595959"/>
                <w:sz w:val="16"/>
              </w:rPr>
              <w:t xml:space="preserve"> — Study design paragraph</w:t>
            </w:r>
          </w:p>
        </w:tc>
        <w:tc>
          <w:tcPr>
            <w:tcW w:type="dxa" w:w="2160"/>
            <w:shd w:val="clear" w:color="auto" w:fill="F4F6FA"/>
          </w:tcPr>
          <w:p>
            <w:pPr>
              <w:spacing w:after="0" w:before="0"/>
            </w:pPr>
            <w:r/>
            <w:r>
              <w:rPr>
                <w:rFonts w:ascii="Calibri" w:hAnsi="Calibri"/>
                <w:b w:val="0"/>
                <w:i w:val="0"/>
                <w:sz w:val="16"/>
              </w:rPr>
              <w:t>Describes oral administration via PO capsules of tasimelteon.</w:t>
            </w:r>
          </w:p>
        </w:tc>
      </w:tr>
      <w:tr>
        <w:tc>
          <w:tcPr>
            <w:tcW w:type="dxa" w:w="720"/>
          </w:tcPr>
          <w:p>
            <w:pPr>
              <w:spacing w:after="0" w:before="0"/>
            </w:pPr>
            <w:r/>
            <w:r>
              <w:rPr>
                <w:rFonts w:ascii="Calibri" w:hAnsi="Calibri"/>
                <w:b w:val="0"/>
                <w:i w:val="0"/>
                <w:sz w:val="16"/>
              </w:rPr>
              <w:t>c4.L2.a1</w:t>
            </w:r>
          </w:p>
        </w:tc>
        <w:tc>
          <w:tcPr>
            <w:tcW w:type="dxa" w:w="2160"/>
          </w:tcPr>
          <w:p>
            <w:pPr>
              <w:spacing w:after="0" w:before="0"/>
            </w:pPr>
            <w:r/>
            <w:r>
              <w:rPr>
                <w:rFonts w:ascii="Calibri" w:hAnsi="Calibri"/>
                <w:b w:val="0"/>
                <w:i w:val="0"/>
                <w:sz w:val="16"/>
              </w:rPr>
              <w:t>20 mg of tasimelteon</w:t>
            </w:r>
          </w:p>
        </w:tc>
        <w:tc>
          <w:tcPr>
            <w:tcW w:type="dxa" w:w="1728"/>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br/>
              <w:t>2010-10-11 · abstract (screening grade)</w:t>
            </w:r>
          </w:p>
        </w:tc>
        <w:tc>
          <w:tcPr>
            <w:tcW w:type="dxa" w:w="1440"/>
          </w:tcPr>
          <w:p>
            <w:pPr>
              <w:spacing w:after="0" w:before="0"/>
            </w:pPr>
            <w:r/>
            <w:r>
              <w:rPr>
                <w:rFonts w:ascii="Calibri" w:hAnsi="Calibri"/>
                <w:b/>
                <w:i w:val="0"/>
                <w:color w:val="2E7D32"/>
                <w:sz w:val="16"/>
              </w:rPr>
              <w:t>EXPLICIT · quote verified</w:t>
            </w:r>
          </w:p>
        </w:tc>
        <w:tc>
          <w:tcPr>
            <w:tcW w:type="dxa" w:w="2880"/>
          </w:tcPr>
          <w:p>
            <w:pPr>
              <w:spacing w:after="0" w:before="0"/>
            </w:pPr>
            <w:r/>
            <w:r>
              <w:rPr>
                <w:rFonts w:ascii="Calibri" w:hAnsi="Calibri"/>
                <w:b w:val="0"/>
                <w:i w:val="0"/>
                <w:sz w:val="16"/>
              </w:rPr>
              <w:t>“20 mg tasimelteon capsules, PO daily for 1 year”</w:t>
            </w:r>
            <w:r>
              <w:rPr>
                <w:rFonts w:ascii="Calibri" w:hAnsi="Calibri"/>
                <w:b w:val="0"/>
                <w:i w:val="0"/>
                <w:color w:val="595959"/>
                <w:sz w:val="16"/>
              </w:rPr>
              <w:t xml:space="preserve"> — Arms/Interventions</w:t>
            </w:r>
          </w:p>
        </w:tc>
        <w:tc>
          <w:tcPr>
            <w:tcW w:type="dxa" w:w="2160"/>
          </w:tcPr>
          <w:p>
            <w:pPr>
              <w:spacing w:after="0" w:before="0"/>
            </w:pPr>
            <w:r/>
            <w:r>
              <w:rPr>
                <w:rFonts w:ascii="Calibri" w:hAnsi="Calibri"/>
                <w:b w:val="0"/>
                <w:i w:val="0"/>
                <w:sz w:val="16"/>
              </w:rPr>
              <w:t>States 20 mg dose of tasimelteon.</w:t>
            </w:r>
          </w:p>
        </w:tc>
      </w:tr>
      <w:tr>
        <w:tc>
          <w:tcPr>
            <w:tcW w:type="dxa" w:w="720"/>
            <w:shd w:val="clear" w:color="auto" w:fill="F4F6FA"/>
          </w:tcPr>
          <w:p>
            <w:pPr>
              <w:spacing w:after="0" w:before="0"/>
            </w:pPr>
            <w:r/>
            <w:r>
              <w:rPr>
                <w:rFonts w:ascii="Calibri" w:hAnsi="Calibri"/>
                <w:b w:val="0"/>
                <w:i w:val="0"/>
                <w:sz w:val="16"/>
              </w:rPr>
              <w:t>c4.L3.a1</w:t>
            </w:r>
          </w:p>
        </w:tc>
        <w:tc>
          <w:tcPr>
            <w:tcW w:type="dxa" w:w="2160"/>
            <w:shd w:val="clear" w:color="auto" w:fill="F4F6FA"/>
          </w:tcPr>
          <w:p>
            <w:pPr>
              <w:spacing w:after="0" w:before="0"/>
            </w:pPr>
            <w:r/>
            <w:r>
              <w:rPr>
                <w:rFonts w:ascii="Calibri" w:hAnsi="Calibri"/>
                <w:b w:val="0"/>
                <w:i w:val="0"/>
                <w:sz w:val="16"/>
              </w:rPr>
              <w:t>once daily</w:t>
            </w:r>
          </w:p>
        </w:tc>
        <w:tc>
          <w:tcPr>
            <w:tcW w:type="dxa" w:w="1728"/>
            <w:shd w:val="clear" w:color="auto" w:fill="F4F6FA"/>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br/>
              <w:t>2010-10-11 · abstract (screening grade)</w:t>
            </w:r>
          </w:p>
        </w:tc>
        <w:tc>
          <w:tcPr>
            <w:tcW w:type="dxa" w:w="1440"/>
            <w:shd w:val="clear" w:color="auto" w:fill="F4F6FA"/>
          </w:tcPr>
          <w:p>
            <w:pPr>
              <w:spacing w:after="0" w:before="0"/>
            </w:pPr>
            <w:r/>
            <w:r>
              <w:rPr>
                <w:rFonts w:ascii="Calibri" w:hAnsi="Calibri"/>
                <w:b/>
                <w:i w:val="0"/>
                <w:color w:val="2E7D32"/>
                <w:sz w:val="16"/>
              </w:rPr>
              <w:t>EXPLICIT · quote verified</w:t>
            </w:r>
          </w:p>
        </w:tc>
        <w:tc>
          <w:tcPr>
            <w:tcW w:type="dxa" w:w="2880"/>
            <w:shd w:val="clear" w:color="auto" w:fill="F4F6FA"/>
          </w:tcPr>
          <w:p>
            <w:pPr>
              <w:spacing w:after="0" w:before="0"/>
            </w:pPr>
            <w:r/>
            <w:r>
              <w:rPr>
                <w:rFonts w:ascii="Calibri" w:hAnsi="Calibri"/>
                <w:b w:val="0"/>
                <w:i w:val="0"/>
                <w:sz w:val="16"/>
              </w:rPr>
              <w:t>“20 mg tasimelteon capsules, PO daily for 1 year”</w:t>
            </w:r>
            <w:r>
              <w:rPr>
                <w:rFonts w:ascii="Calibri" w:hAnsi="Calibri"/>
                <w:b w:val="0"/>
                <w:i w:val="0"/>
                <w:color w:val="595959"/>
                <w:sz w:val="16"/>
              </w:rPr>
              <w:t xml:space="preserve"> — Arms/Interventions</w:t>
            </w:r>
          </w:p>
        </w:tc>
        <w:tc>
          <w:tcPr>
            <w:tcW w:type="dxa" w:w="2160"/>
            <w:shd w:val="clear" w:color="auto" w:fill="F4F6FA"/>
          </w:tcPr>
          <w:p>
            <w:pPr>
              <w:spacing w:after="0" w:before="0"/>
            </w:pPr>
            <w:r/>
            <w:r>
              <w:rPr>
                <w:rFonts w:ascii="Calibri" w:hAnsi="Calibri"/>
                <w:b w:val="0"/>
                <w:i w:val="0"/>
                <w:sz w:val="16"/>
              </w:rPr>
              <w:t>Explicitly states once daily dosing.</w:t>
            </w:r>
          </w:p>
        </w:tc>
      </w:tr>
      <w:tr>
        <w:tc>
          <w:tcPr>
            <w:tcW w:type="dxa" w:w="720"/>
          </w:tcPr>
          <w:p>
            <w:pPr>
              <w:spacing w:after="0" w:before="0"/>
            </w:pPr>
            <w:r/>
            <w:r>
              <w:rPr>
                <w:rFonts w:ascii="Calibri" w:hAnsi="Calibri"/>
                <w:b w:val="0"/>
                <w:i w:val="0"/>
                <w:sz w:val="16"/>
              </w:rPr>
              <w:t>c4.L4.a1</w:t>
            </w:r>
          </w:p>
        </w:tc>
        <w:tc>
          <w:tcPr>
            <w:tcW w:type="dxa" w:w="2160"/>
          </w:tcPr>
          <w:p>
            <w:pPr>
              <w:spacing w:after="0" w:before="0"/>
            </w:pPr>
            <w:r/>
            <w:r>
              <w:rPr>
                <w:rFonts w:ascii="Calibri" w:hAnsi="Calibri"/>
                <w:b w:val="0"/>
                <w:i w:val="0"/>
                <w:sz w:val="16"/>
              </w:rPr>
              <w:t>before a target bedtime</w:t>
            </w:r>
          </w:p>
        </w:tc>
        <w:tc>
          <w:tcPr>
            <w:tcW w:type="dxa" w:w="1728"/>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br/>
              <w:t>2010-10-11 · abstract (screening grade)</w:t>
            </w:r>
          </w:p>
        </w:tc>
        <w:tc>
          <w:tcPr>
            <w:tcW w:type="dxa" w:w="1440"/>
          </w:tcPr>
          <w:p>
            <w:pPr>
              <w:spacing w:after="0" w:before="0"/>
            </w:pPr>
            <w:r/>
            <w:r>
              <w:rPr>
                <w:rFonts w:ascii="Calibri" w:hAnsi="Calibri"/>
                <w:b/>
                <w:i w:val="0"/>
                <w:color w:val="2E7D32"/>
                <w:sz w:val="16"/>
              </w:rPr>
              <w:t>EXPLICIT · quote verified</w:t>
            </w:r>
          </w:p>
        </w:tc>
        <w:tc>
          <w:tcPr>
            <w:tcW w:type="dxa" w:w="2880"/>
          </w:tcPr>
          <w:p>
            <w:pPr>
              <w:spacing w:after="0" w:before="0"/>
            </w:pPr>
            <w:r/>
            <w:r>
              <w:rPr>
                <w:rFonts w:ascii="Calibri" w:hAnsi="Calibri"/>
                <w:b w:val="0"/>
                <w:i w:val="0"/>
                <w:sz w:val="16"/>
              </w:rPr>
              <w:t>“patients will be asked to take 20 mg tasimelteon daily approximately 60 minutes prior to their target bedtime”</w:t>
            </w:r>
            <w:r>
              <w:rPr>
                <w:rFonts w:ascii="Calibri" w:hAnsi="Calibri"/>
                <w:b w:val="0"/>
                <w:i w:val="0"/>
                <w:color w:val="595959"/>
                <w:sz w:val="16"/>
              </w:rPr>
              <w:t xml:space="preserve"> — Study design paragraph</w:t>
            </w:r>
          </w:p>
        </w:tc>
        <w:tc>
          <w:tcPr>
            <w:tcW w:type="dxa" w:w="2160"/>
          </w:tcPr>
          <w:p>
            <w:pPr>
              <w:spacing w:after="0" w:before="0"/>
            </w:pPr>
            <w:r/>
            <w:r>
              <w:rPr>
                <w:rFonts w:ascii="Calibri" w:hAnsi="Calibri"/>
                <w:b w:val="0"/>
                <w:i w:val="0"/>
                <w:sz w:val="16"/>
              </w:rPr>
              <w:t>States administration before target bedtime.</w:t>
            </w:r>
            <w:r>
              <w:rPr>
                <w:rFonts w:ascii="Calibri" w:hAnsi="Calibri"/>
                <w:b w:val="0"/>
                <w:i w:val="0"/>
                <w:color w:val="142B4A"/>
                <w:sz w:val="16"/>
              </w:rPr>
              <w:br/>
              <w:t>Inference rests on: “patients will be asked to take 20 mg tasimelteon daily approximately 60 minutes prior to their target bedtime for 52 weeks in an open-label fashion.”</w:t>
            </w:r>
            <w:r>
              <w:rPr>
                <w:rFonts w:ascii="Calibri" w:hAnsi="Calibri"/>
                <w:b/>
                <w:i w:val="0"/>
                <w:color w:val="2E7D32"/>
                <w:sz w:val="16"/>
              </w:rPr>
              <w:br/>
              <w:t>Sequence: order of steps stated in the reference — “patients will be asked to take 20 mg tasimelteon daily approximately 60 minutes prior to their target bedtime for 52 weeks in an open-label fashion.”</w:t>
            </w:r>
          </w:p>
        </w:tc>
      </w:tr>
    </w:tbl>
    <w:p>
      <w:pPr>
        <w:spacing w:after="40" w:before="0"/>
      </w:pPr>
    </w:p>
    <w:p>
      <w:pPr>
        <w:keepNext/>
        <w:spacing w:before="120" w:after="40"/>
      </w:pPr>
      <w:r>
        <w:rPr>
          <w:rFonts w:ascii="Calibri Light" w:hAnsi="Calibri Light"/>
          <w:b/>
          <w:i w:val="0"/>
          <w:color w:val="142B4A"/>
          <w:sz w:val="23"/>
        </w:rPr>
        <w:t>03a · How each piece is closed — patents and papers</w:t>
      </w:r>
    </w:p>
    <w:p>
      <w:pPr>
        <w:spacing w:after="80" w:before="0"/>
      </w:pPr>
      <w:r>
        <w:rPr>
          <w:rFonts w:ascii="Calibri" w:hAnsi="Calibri"/>
          <w:b w:val="0"/>
          <w:i w:val="0"/>
          <w:sz w:val="18"/>
        </w:rPr>
        <w:t>One line per piece of the claim, read from this run's own record (no reviewer decisions are used). CLOSED: a pre-priority reference states it (EXPLICIT) or covers most of it (PARTIAL). HELD OPEN: the evidence is there but falls short -- only inferred, only by analogy to a similar drug, or the steps are never shown in the claimed order. Grades in brackets; the verbatim passage for the strongest reference follows the table.</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152"/>
            <w:shd w:val="clear" w:color="auto" w:fill="142B4A"/>
          </w:tcPr>
          <w:p>
            <w:pPr>
              <w:spacing w:after="0" w:before="0"/>
            </w:pPr>
            <w:r/>
            <w:r>
              <w:rPr>
                <w:rFonts w:ascii="Calibri" w:hAnsi="Calibri"/>
                <w:b/>
                <w:i w:val="0"/>
                <w:color w:val="C9A227"/>
                <w:sz w:val="15"/>
              </w:rPr>
              <w:t>PIECE</w:t>
            </w:r>
          </w:p>
        </w:tc>
        <w:tc>
          <w:tcPr>
            <w:tcW w:type="dxa" w:w="1152"/>
            <w:shd w:val="clear" w:color="auto" w:fill="142B4A"/>
          </w:tcPr>
          <w:p>
            <w:pPr>
              <w:spacing w:after="0" w:before="0"/>
            </w:pPr>
            <w:r/>
            <w:r>
              <w:rPr>
                <w:rFonts w:ascii="Calibri" w:hAnsi="Calibri"/>
                <w:b/>
                <w:i w:val="0"/>
                <w:color w:val="C9A227"/>
                <w:sz w:val="15"/>
              </w:rPr>
              <w:t>STATUS</w:t>
            </w:r>
          </w:p>
        </w:tc>
        <w:tc>
          <w:tcPr>
            <w:tcW w:type="dxa" w:w="2592"/>
            <w:shd w:val="clear" w:color="auto" w:fill="142B4A"/>
          </w:tcPr>
          <w:p>
            <w:pPr>
              <w:spacing w:after="0" w:before="0"/>
            </w:pPr>
            <w:r/>
            <w:r>
              <w:rPr>
                <w:rFonts w:ascii="Calibri" w:hAnsi="Calibri"/>
                <w:b/>
                <w:i w:val="0"/>
                <w:color w:val="C9A227"/>
                <w:sz w:val="15"/>
              </w:rPr>
              <w:t>CLOSING PATENT(S)</w:t>
            </w:r>
          </w:p>
        </w:tc>
        <w:tc>
          <w:tcPr>
            <w:tcW w:type="dxa" w:w="2592"/>
            <w:shd w:val="clear" w:color="auto" w:fill="142B4A"/>
          </w:tcPr>
          <w:p>
            <w:pPr>
              <w:spacing w:after="0" w:before="0"/>
            </w:pPr>
            <w:r/>
            <w:r>
              <w:rPr>
                <w:rFonts w:ascii="Calibri" w:hAnsi="Calibri"/>
                <w:b/>
                <w:i w:val="0"/>
                <w:color w:val="C9A227"/>
                <w:sz w:val="15"/>
              </w:rPr>
              <w:t>CLOSING PAPER(S)</w:t>
            </w:r>
          </w:p>
        </w:tc>
        <w:tc>
          <w:tcPr>
            <w:tcW w:type="dxa" w:w="2592"/>
            <w:shd w:val="clear" w:color="auto" w:fill="142B4A"/>
          </w:tcPr>
          <w:p>
            <w:pPr>
              <w:spacing w:after="0" w:before="0"/>
            </w:pPr>
            <w:r/>
            <w:r>
              <w:rPr>
                <w:rFonts w:ascii="Calibri" w:hAnsi="Calibri"/>
                <w:b/>
                <w:i w:val="0"/>
                <w:color w:val="C9A227"/>
                <w:sz w:val="15"/>
              </w:rPr>
              <w:t>NOTES</w:t>
            </w:r>
          </w:p>
        </w:tc>
      </w:tr>
      <w:tr>
        <w:tc>
          <w:tcPr>
            <w:tcW w:type="dxa" w:w="1152"/>
          </w:tcPr>
          <w:p>
            <w:pPr>
              <w:spacing w:after="0" w:before="0"/>
            </w:pPr>
            <w:r/>
            <w:r>
              <w:rPr>
                <w:rFonts w:ascii="Calibri" w:hAnsi="Calibri"/>
                <w:b w:val="0"/>
                <w:i w:val="0"/>
                <w:sz w:val="16"/>
              </w:rPr>
              <w:t>c1.L1.a1</w:t>
            </w:r>
          </w:p>
        </w:tc>
        <w:tc>
          <w:tcPr>
            <w:tcW w:type="dxa" w:w="1152"/>
          </w:tcPr>
          <w:p>
            <w:pPr>
              <w:spacing w:after="0" w:before="0"/>
            </w:pPr>
            <w:r/>
            <w:r>
              <w:rPr>
                <w:rFonts w:ascii="Calibri" w:hAnsi="Calibri"/>
                <w:b/>
                <w:i w:val="0"/>
                <w:color w:val="2E7D32"/>
                <w:sz w:val="16"/>
              </w:rPr>
              <w:t>CLOSED</w:t>
            </w:r>
          </w:p>
        </w:tc>
        <w:tc>
          <w:tcPr>
            <w:tcW w:type="dxa" w:w="2592"/>
          </w:tcPr>
          <w:p>
            <w:pPr>
              <w:spacing w:after="0" w:before="0"/>
            </w:pPr>
            <w:r/>
            <w:r>
              <w:rPr>
                <w:rFonts w:ascii="Calibri" w:hAnsi="Calibri"/>
                <w:b w:val="0"/>
                <w:i w:val="0"/>
                <w:sz w:val="16"/>
              </w:rPr>
              <w:t>US20040044064A1 (Lewy et al.) (partial); US20050119283A1 (Matos et al.) (partial)</w:t>
            </w:r>
          </w:p>
        </w:tc>
        <w:tc>
          <w:tcPr>
            <w:tcW w:type="dxa" w:w="2592"/>
          </w:tcPr>
          <w:p>
            <w:pPr>
              <w:spacing w:after="0" w:before="0"/>
            </w:pPr>
            <w:r/>
            <w:r>
              <w:rPr>
                <w:rFonts w:ascii="Calibri" w:hAnsi="Calibri"/>
                <w:b w:val="0"/>
                <w:i w:val="0"/>
                <w:sz w:val="16"/>
              </w:rPr>
              <w:t>PMID:19579175 (Hardeland 2009) (partial); PMID:20945020 (Sukys-Claudino et al. 2010) (partial)</w:t>
            </w:r>
          </w:p>
        </w:tc>
        <w:tc>
          <w:tcPr>
            <w:tcW w:type="dxa" w:w="2592"/>
          </w:tcPr>
          <w:p>
            <w:pPr>
              <w:spacing w:after="0" w:before="0"/>
            </w:pPr>
            <w:r/>
            <w:r>
              <w:rPr>
                <w:rFonts w:ascii="Calibri" w:hAnsi="Calibri"/>
                <w:b w:val="0"/>
                <w:i w:val="0"/>
                <w:sz w:val="16"/>
              </w:rPr>
              <w:t>--</w:t>
            </w:r>
          </w:p>
        </w:tc>
      </w:tr>
      <w:tr>
        <w:tc>
          <w:tcPr>
            <w:tcW w:type="dxa" w:w="1152"/>
            <w:shd w:val="clear" w:color="auto" w:fill="F4F6FA"/>
          </w:tcPr>
          <w:p>
            <w:pPr>
              <w:spacing w:after="0" w:before="0"/>
            </w:pPr>
            <w:r/>
            <w:r>
              <w:rPr>
                <w:rFonts w:ascii="Calibri" w:hAnsi="Calibri"/>
                <w:b w:val="0"/>
                <w:i w:val="0"/>
                <w:sz w:val="16"/>
              </w:rPr>
              <w:t>c1.L1.a2</w:t>
            </w:r>
          </w:p>
        </w:tc>
        <w:tc>
          <w:tcPr>
            <w:tcW w:type="dxa" w:w="1152"/>
            <w:shd w:val="clear" w:color="auto" w:fill="F4F6FA"/>
          </w:tcPr>
          <w:p>
            <w:pPr>
              <w:spacing w:after="0" w:before="0"/>
            </w:pPr>
            <w:r/>
            <w:r>
              <w:rPr>
                <w:rFonts w:ascii="Calibri" w:hAnsi="Calibri"/>
                <w:b/>
                <w:i w:val="0"/>
                <w:color w:val="2E7D32"/>
                <w:sz w:val="16"/>
              </w:rPr>
              <w:t>CLOSED</w:t>
            </w:r>
          </w:p>
        </w:tc>
        <w:tc>
          <w:tcPr>
            <w:tcW w:type="dxa" w:w="2592"/>
            <w:shd w:val="clear" w:color="auto" w:fill="F4F6FA"/>
          </w:tcPr>
          <w:p>
            <w:pPr>
              <w:spacing w:after="0" w:before="0"/>
            </w:pPr>
            <w:r/>
            <w:r>
              <w:rPr>
                <w:rFonts w:ascii="Calibri" w:hAnsi="Calibri"/>
                <w:b w:val="0"/>
                <w:i w:val="0"/>
                <w:sz w:val="16"/>
              </w:rPr>
              <w:t>EP2308491B1 (Bradford et al.) (explicit); US20080124407A1 (Eaton et al.) (explicit)</w:t>
            </w:r>
          </w:p>
        </w:tc>
        <w:tc>
          <w:tcPr>
            <w:tcW w:type="dxa" w:w="2592"/>
            <w:shd w:val="clear" w:color="auto" w:fill="F4F6FA"/>
          </w:tcPr>
          <w:p>
            <w:pPr>
              <w:spacing w:after="0" w:before="0"/>
            </w:pPr>
            <w:r/>
            <w:r>
              <w:rPr>
                <w:rFonts w:ascii="Calibri" w:hAnsi="Calibri"/>
                <w:b w:val="0"/>
                <w:i w:val="0"/>
                <w:sz w:val="16"/>
              </w:rPr>
              <w:t>NCT:NCT00608907 (ClinicalTrials.gov 2007) (partial); PMID:22087865 (Hellmann et al. 2011) (partial)</w:t>
            </w:r>
          </w:p>
        </w:tc>
        <w:tc>
          <w:tcPr>
            <w:tcW w:type="dxa" w:w="2592"/>
            <w:shd w:val="clear" w:color="auto" w:fill="F4F6FA"/>
          </w:tcPr>
          <w:p>
            <w:pPr>
              <w:spacing w:after="0" w:before="0"/>
            </w:pPr>
            <w:r/>
            <w:r>
              <w:rPr>
                <w:rFonts w:ascii="Calibri" w:hAnsi="Calibri"/>
                <w:b w:val="0"/>
                <w:i w:val="0"/>
                <w:sz w:val="16"/>
              </w:rPr>
              <w:t>--</w:t>
            </w:r>
          </w:p>
        </w:tc>
      </w:tr>
      <w:tr>
        <w:tc>
          <w:tcPr>
            <w:tcW w:type="dxa" w:w="1152"/>
          </w:tcPr>
          <w:p>
            <w:pPr>
              <w:spacing w:after="0" w:before="0"/>
            </w:pPr>
            <w:r/>
            <w:r>
              <w:rPr>
                <w:rFonts w:ascii="Calibri" w:hAnsi="Calibri"/>
                <w:b w:val="0"/>
                <w:i w:val="0"/>
                <w:sz w:val="16"/>
              </w:rPr>
              <w:t>c1.L2.a1</w:t>
            </w:r>
          </w:p>
        </w:tc>
        <w:tc>
          <w:tcPr>
            <w:tcW w:type="dxa" w:w="1152"/>
          </w:tcPr>
          <w:p>
            <w:pPr>
              <w:spacing w:after="0" w:before="0"/>
            </w:pPr>
            <w:r/>
            <w:r>
              <w:rPr>
                <w:rFonts w:ascii="Calibri" w:hAnsi="Calibri"/>
                <w:b/>
                <w:i w:val="0"/>
                <w:color w:val="142B4A"/>
                <w:sz w:val="16"/>
              </w:rPr>
              <w:t>HELD OPEN</w:t>
            </w:r>
          </w:p>
        </w:tc>
        <w:tc>
          <w:tcPr>
            <w:tcW w:type="dxa" w:w="2592"/>
          </w:tcPr>
          <w:p>
            <w:pPr>
              <w:spacing w:after="0" w:before="0"/>
            </w:pPr>
            <w:r/>
            <w:r>
              <w:rPr>
                <w:rFonts w:ascii="Calibri" w:hAnsi="Calibri"/>
                <w:b w:val="0"/>
                <w:i w:val="0"/>
                <w:sz w:val="16"/>
              </w:rPr>
              <w:t>--</w:t>
            </w:r>
          </w:p>
        </w:tc>
        <w:tc>
          <w:tcPr>
            <w:tcW w:type="dxa" w:w="2592"/>
          </w:tcPr>
          <w:p>
            <w:pPr>
              <w:spacing w:after="0" w:before="0"/>
            </w:pPr>
            <w:r/>
            <w:r>
              <w:rPr>
                <w:rFonts w:ascii="Calibri" w:hAnsi="Calibri"/>
                <w:b w:val="0"/>
                <w:i w:val="0"/>
                <w:sz w:val="16"/>
              </w:rPr>
              <w:t>PMID:12882588 (Niemi et al. 2003) (functional inference)</w:t>
            </w:r>
          </w:p>
        </w:tc>
        <w:tc>
          <w:tcPr>
            <w:tcW w:type="dxa" w:w="2592"/>
          </w:tcPr>
          <w:p>
            <w:pPr>
              <w:spacing w:after="0" w:before="0"/>
            </w:pPr>
            <w:r/>
            <w:r>
              <w:rPr>
                <w:rFonts w:ascii="Calibri" w:hAnsi="Calibri"/>
                <w:b w:val="0"/>
                <w:i w:val="0"/>
                <w:sz w:val="16"/>
              </w:rPr>
              <w:t>the steps are found, but no reference shows them in the claimed order; by analogy: US20100056622A1 (Lauterbach), PMID:23616713 (Mets et al. 2010), PMID:20945020 (Sukys-Claudino et al. 2010); counter-evidence: PMID:19557144 (Hardeland 2009), PMID:12661062 (Vachharajani et al. 2003)</w:t>
            </w:r>
          </w:p>
        </w:tc>
      </w:tr>
      <w:tr>
        <w:tc>
          <w:tcPr>
            <w:tcW w:type="dxa" w:w="1152"/>
            <w:shd w:val="clear" w:color="auto" w:fill="F4F6FA"/>
          </w:tcPr>
          <w:p>
            <w:pPr>
              <w:spacing w:after="0" w:before="0"/>
            </w:pPr>
            <w:r/>
            <w:r>
              <w:rPr>
                <w:rFonts w:ascii="Calibri" w:hAnsi="Calibri"/>
                <w:b w:val="0"/>
                <w:i w:val="0"/>
                <w:sz w:val="16"/>
              </w:rPr>
              <w:t>c2.L1.a1</w:t>
            </w:r>
          </w:p>
        </w:tc>
        <w:tc>
          <w:tcPr>
            <w:tcW w:type="dxa" w:w="1152"/>
            <w:shd w:val="clear" w:color="auto" w:fill="F4F6FA"/>
          </w:tcPr>
          <w:p>
            <w:pPr>
              <w:spacing w:after="0" w:before="0"/>
            </w:pPr>
            <w:r/>
            <w:r>
              <w:rPr>
                <w:rFonts w:ascii="Calibri" w:hAnsi="Calibri"/>
                <w:b/>
                <w:i w:val="0"/>
                <w:color w:val="2E7D32"/>
                <w:sz w:val="16"/>
              </w:rPr>
              <w:t>CLOSED</w:t>
            </w:r>
          </w:p>
        </w:tc>
        <w:tc>
          <w:tcPr>
            <w:tcW w:type="dxa" w:w="2592"/>
            <w:shd w:val="clear" w:color="auto" w:fill="F4F6FA"/>
          </w:tcPr>
          <w:p>
            <w:pPr>
              <w:spacing w:after="0" w:before="0"/>
            </w:pPr>
            <w:r/>
            <w:r>
              <w:rPr>
                <w:rFonts w:ascii="Calibri" w:hAnsi="Calibri"/>
                <w:b w:val="0"/>
                <w:i w:val="0"/>
                <w:sz w:val="16"/>
              </w:rPr>
              <w:t>US8101596B2 (Edgar et al.) (explicit); US20060094705A1 (Edgar et al.) (explicit)</w:t>
            </w:r>
          </w:p>
        </w:tc>
        <w:tc>
          <w:tcPr>
            <w:tcW w:type="dxa" w:w="2592"/>
            <w:shd w:val="clear" w:color="auto" w:fill="F4F6FA"/>
          </w:tcPr>
          <w:p>
            <w:pPr>
              <w:spacing w:after="0" w:before="0"/>
            </w:pPr>
            <w:r/>
            <w:r>
              <w:rPr>
                <w:rFonts w:ascii="Calibri" w:hAnsi="Calibri"/>
                <w:b w:val="0"/>
                <w:i w:val="0"/>
                <w:sz w:val="16"/>
              </w:rPr>
              <w:t>NCT:NCT01430754 (ClinicalTrials.gov 2011) (explicit); NCT:NCT01218789 (ClinicalTrials.gov 2010) (explicit)</w:t>
            </w:r>
          </w:p>
        </w:tc>
        <w:tc>
          <w:tcPr>
            <w:tcW w:type="dxa" w:w="2592"/>
            <w:shd w:val="clear" w:color="auto" w:fill="F4F6FA"/>
          </w:tcPr>
          <w:p>
            <w:pPr>
              <w:spacing w:after="0" w:before="0"/>
            </w:pPr>
            <w:r/>
            <w:r>
              <w:rPr>
                <w:rFonts w:ascii="Calibri" w:hAnsi="Calibri"/>
                <w:b w:val="0"/>
                <w:i w:val="0"/>
                <w:sz w:val="16"/>
              </w:rPr>
              <w:t>--</w:t>
            </w:r>
          </w:p>
        </w:tc>
      </w:tr>
      <w:tr>
        <w:tc>
          <w:tcPr>
            <w:tcW w:type="dxa" w:w="1152"/>
          </w:tcPr>
          <w:p>
            <w:pPr>
              <w:spacing w:after="0" w:before="0"/>
            </w:pPr>
            <w:r/>
            <w:r>
              <w:rPr>
                <w:rFonts w:ascii="Calibri" w:hAnsi="Calibri"/>
                <w:b w:val="0"/>
                <w:i w:val="0"/>
                <w:sz w:val="16"/>
              </w:rPr>
              <w:t>c3.L1.a1</w:t>
            </w:r>
          </w:p>
        </w:tc>
        <w:tc>
          <w:tcPr>
            <w:tcW w:type="dxa" w:w="1152"/>
          </w:tcPr>
          <w:p>
            <w:pPr>
              <w:spacing w:after="0" w:before="0"/>
            </w:pPr>
            <w:r/>
            <w:r>
              <w:rPr>
                <w:rFonts w:ascii="Calibri" w:hAnsi="Calibri"/>
                <w:b/>
                <w:i w:val="0"/>
                <w:color w:val="2E7D32"/>
                <w:sz w:val="16"/>
              </w:rPr>
              <w:t>CLOSED</w:t>
            </w:r>
          </w:p>
        </w:tc>
        <w:tc>
          <w:tcPr>
            <w:tcW w:type="dxa" w:w="2592"/>
          </w:tcPr>
          <w:p>
            <w:pPr>
              <w:spacing w:after="0" w:before="0"/>
            </w:pPr>
            <w:r/>
            <w:r>
              <w:rPr>
                <w:rFonts w:ascii="Calibri" w:hAnsi="Calibri"/>
                <w:b w:val="0"/>
                <w:i w:val="0"/>
                <w:sz w:val="16"/>
              </w:rPr>
              <w:t>--</w:t>
            </w:r>
          </w:p>
        </w:tc>
        <w:tc>
          <w:tcPr>
            <w:tcW w:type="dxa" w:w="2592"/>
          </w:tcPr>
          <w:p>
            <w:pPr>
              <w:spacing w:after="0" w:before="0"/>
            </w:pPr>
            <w:r/>
            <w:r>
              <w:rPr>
                <w:rFonts w:ascii="Calibri" w:hAnsi="Calibri"/>
                <w:b w:val="0"/>
                <w:i w:val="0"/>
                <w:sz w:val="16"/>
              </w:rPr>
              <w:t>NCT:NCT01218789 (ClinicalTrials.gov 2010) (explicit); PMID:26568125 (Uchiyama et al. 2015) (explicit)</w:t>
            </w:r>
          </w:p>
        </w:tc>
        <w:tc>
          <w:tcPr>
            <w:tcW w:type="dxa" w:w="2592"/>
          </w:tcPr>
          <w:p>
            <w:pPr>
              <w:spacing w:after="0" w:before="0"/>
            </w:pPr>
            <w:r/>
            <w:r>
              <w:rPr>
                <w:rFonts w:ascii="Calibri" w:hAnsi="Calibri"/>
                <w:b w:val="0"/>
                <w:i w:val="0"/>
                <w:sz w:val="16"/>
              </w:rPr>
              <w:t>--</w:t>
            </w:r>
          </w:p>
        </w:tc>
      </w:tr>
      <w:tr>
        <w:tc>
          <w:tcPr>
            <w:tcW w:type="dxa" w:w="1152"/>
            <w:shd w:val="clear" w:color="auto" w:fill="F4F6FA"/>
          </w:tcPr>
          <w:p>
            <w:pPr>
              <w:spacing w:after="0" w:before="0"/>
            </w:pPr>
            <w:r/>
            <w:r>
              <w:rPr>
                <w:rFonts w:ascii="Calibri" w:hAnsi="Calibri"/>
                <w:b w:val="0"/>
                <w:i w:val="0"/>
                <w:sz w:val="16"/>
              </w:rPr>
              <w:t>c4.L1.a1</w:t>
            </w:r>
          </w:p>
        </w:tc>
        <w:tc>
          <w:tcPr>
            <w:tcW w:type="dxa" w:w="1152"/>
            <w:shd w:val="clear" w:color="auto" w:fill="F4F6FA"/>
          </w:tcPr>
          <w:p>
            <w:pPr>
              <w:spacing w:after="0" w:before="0"/>
            </w:pPr>
            <w:r/>
            <w:r>
              <w:rPr>
                <w:rFonts w:ascii="Calibri" w:hAnsi="Calibri"/>
                <w:b/>
                <w:i w:val="0"/>
                <w:color w:val="2E7D32"/>
                <w:sz w:val="16"/>
              </w:rPr>
              <w:t>CLOSED</w:t>
            </w:r>
          </w:p>
        </w:tc>
        <w:tc>
          <w:tcPr>
            <w:tcW w:type="dxa" w:w="2592"/>
            <w:shd w:val="clear" w:color="auto" w:fill="F4F6FA"/>
          </w:tcPr>
          <w:p>
            <w:pPr>
              <w:spacing w:after="0" w:before="0"/>
            </w:pPr>
            <w:r/>
            <w:r>
              <w:rPr>
                <w:rFonts w:ascii="Calibri" w:hAnsi="Calibri"/>
                <w:b w:val="0"/>
                <w:i w:val="0"/>
                <w:sz w:val="16"/>
              </w:rPr>
              <w:t>US20040044064A1 (Lewy et al.) (explicit); US8101596B2 (Edgar et al.) (explicit)</w:t>
            </w:r>
          </w:p>
        </w:tc>
        <w:tc>
          <w:tcPr>
            <w:tcW w:type="dxa" w:w="2592"/>
            <w:shd w:val="clear" w:color="auto" w:fill="F4F6FA"/>
          </w:tcPr>
          <w:p>
            <w:pPr>
              <w:spacing w:after="0" w:before="0"/>
            </w:pPr>
            <w:r/>
            <w:r>
              <w:rPr>
                <w:rFonts w:ascii="Calibri" w:hAnsi="Calibri"/>
                <w:b w:val="0"/>
                <w:i w:val="0"/>
                <w:sz w:val="16"/>
              </w:rPr>
              <w:t>PMID:19054552 (Rajaratnam et al. 2009) (explicit); NCT:NCT01218789 (ClinicalTrials.gov 2010) (explicit)</w:t>
            </w:r>
          </w:p>
        </w:tc>
        <w:tc>
          <w:tcPr>
            <w:tcW w:type="dxa" w:w="2592"/>
            <w:shd w:val="clear" w:color="auto" w:fill="F4F6FA"/>
          </w:tcPr>
          <w:p>
            <w:pPr>
              <w:spacing w:after="0" w:before="0"/>
            </w:pPr>
            <w:r/>
            <w:r>
              <w:rPr>
                <w:rFonts w:ascii="Calibri" w:hAnsi="Calibri"/>
                <w:b w:val="0"/>
                <w:i w:val="0"/>
                <w:sz w:val="16"/>
              </w:rPr>
              <w:t>by analogy: NPL:FDA-LABEL-NDA021782-2010-11-12</w:t>
            </w:r>
          </w:p>
        </w:tc>
      </w:tr>
      <w:tr>
        <w:tc>
          <w:tcPr>
            <w:tcW w:type="dxa" w:w="1152"/>
          </w:tcPr>
          <w:p>
            <w:pPr>
              <w:spacing w:after="0" w:before="0"/>
            </w:pPr>
            <w:r/>
            <w:r>
              <w:rPr>
                <w:rFonts w:ascii="Calibri" w:hAnsi="Calibri"/>
                <w:b w:val="0"/>
                <w:i w:val="0"/>
                <w:sz w:val="16"/>
              </w:rPr>
              <w:t>c4.L2.a1</w:t>
            </w:r>
          </w:p>
        </w:tc>
        <w:tc>
          <w:tcPr>
            <w:tcW w:type="dxa" w:w="1152"/>
          </w:tcPr>
          <w:p>
            <w:pPr>
              <w:spacing w:after="0" w:before="0"/>
            </w:pPr>
            <w:r/>
            <w:r>
              <w:rPr>
                <w:rFonts w:ascii="Calibri" w:hAnsi="Calibri"/>
                <w:b/>
                <w:i w:val="0"/>
                <w:color w:val="2E7D32"/>
                <w:sz w:val="16"/>
              </w:rPr>
              <w:t>CLOSED</w:t>
            </w:r>
          </w:p>
        </w:tc>
        <w:tc>
          <w:tcPr>
            <w:tcW w:type="dxa" w:w="2592"/>
          </w:tcPr>
          <w:p>
            <w:pPr>
              <w:spacing w:after="0" w:before="0"/>
            </w:pPr>
            <w:r/>
            <w:r>
              <w:rPr>
                <w:rFonts w:ascii="Calibri" w:hAnsi="Calibri"/>
                <w:b w:val="0"/>
                <w:i w:val="0"/>
                <w:sz w:val="16"/>
              </w:rPr>
              <w:t>US20100261786A1 (Lavedan et al.) (explicit)</w:t>
            </w:r>
          </w:p>
        </w:tc>
        <w:tc>
          <w:tcPr>
            <w:tcW w:type="dxa" w:w="2592"/>
          </w:tcPr>
          <w:p>
            <w:pPr>
              <w:spacing w:after="0" w:before="0"/>
            </w:pPr>
            <w:r/>
            <w:r>
              <w:rPr>
                <w:rFonts w:ascii="Calibri" w:hAnsi="Calibri"/>
                <w:b w:val="0"/>
                <w:i w:val="0"/>
                <w:sz w:val="16"/>
              </w:rPr>
              <w:t>NCT:NCT01430754 (ClinicalTrials.gov 2011) (explicit); PMID:19054552 (Rajaratnam et al. 2009) (explicit)</w:t>
            </w:r>
          </w:p>
        </w:tc>
        <w:tc>
          <w:tcPr>
            <w:tcW w:type="dxa" w:w="2592"/>
          </w:tcPr>
          <w:p>
            <w:pPr>
              <w:spacing w:after="0" w:before="0"/>
            </w:pPr>
            <w:r/>
            <w:r>
              <w:rPr>
                <w:rFonts w:ascii="Calibri" w:hAnsi="Calibri"/>
                <w:b w:val="0"/>
                <w:i w:val="0"/>
                <w:sz w:val="16"/>
              </w:rPr>
              <w:t>--</w:t>
            </w:r>
          </w:p>
        </w:tc>
      </w:tr>
      <w:tr>
        <w:tc>
          <w:tcPr>
            <w:tcW w:type="dxa" w:w="1152"/>
            <w:shd w:val="clear" w:color="auto" w:fill="F4F6FA"/>
          </w:tcPr>
          <w:p>
            <w:pPr>
              <w:spacing w:after="0" w:before="0"/>
            </w:pPr>
            <w:r/>
            <w:r>
              <w:rPr>
                <w:rFonts w:ascii="Calibri" w:hAnsi="Calibri"/>
                <w:b w:val="0"/>
                <w:i w:val="0"/>
                <w:sz w:val="16"/>
              </w:rPr>
              <w:t>c4.L3.a1</w:t>
            </w:r>
          </w:p>
        </w:tc>
        <w:tc>
          <w:tcPr>
            <w:tcW w:type="dxa" w:w="1152"/>
            <w:shd w:val="clear" w:color="auto" w:fill="F4F6FA"/>
          </w:tcPr>
          <w:p>
            <w:pPr>
              <w:spacing w:after="0" w:before="0"/>
            </w:pPr>
            <w:r/>
            <w:r>
              <w:rPr>
                <w:rFonts w:ascii="Calibri" w:hAnsi="Calibri"/>
                <w:b/>
                <w:i w:val="0"/>
                <w:color w:val="2E7D32"/>
                <w:sz w:val="16"/>
              </w:rPr>
              <w:t>CLOSED</w:t>
            </w:r>
          </w:p>
        </w:tc>
        <w:tc>
          <w:tcPr>
            <w:tcW w:type="dxa" w:w="2592"/>
            <w:shd w:val="clear" w:color="auto" w:fill="F4F6FA"/>
          </w:tcPr>
          <w:p>
            <w:pPr>
              <w:spacing w:after="0" w:before="0"/>
            </w:pPr>
            <w:r/>
            <w:r>
              <w:rPr>
                <w:rFonts w:ascii="Calibri" w:hAnsi="Calibri"/>
                <w:b w:val="0"/>
                <w:i w:val="0"/>
                <w:sz w:val="16"/>
              </w:rPr>
              <w:t>US20050137247A1 (Czeisler et al.) (explicit); US20040044064A1 (Lewy et al.) (partial)</w:t>
            </w:r>
          </w:p>
        </w:tc>
        <w:tc>
          <w:tcPr>
            <w:tcW w:type="dxa" w:w="2592"/>
            <w:shd w:val="clear" w:color="auto" w:fill="F4F6FA"/>
          </w:tcPr>
          <w:p>
            <w:pPr>
              <w:spacing w:after="0" w:before="0"/>
            </w:pPr>
            <w:r/>
            <w:r>
              <w:rPr>
                <w:rFonts w:ascii="Calibri" w:hAnsi="Calibri"/>
                <w:b w:val="0"/>
                <w:i w:val="0"/>
                <w:sz w:val="16"/>
              </w:rPr>
              <w:t>NCT:NCT01430754 (ClinicalTrials.gov 2011) (explicit); NCT:NCT01218789 (ClinicalTrials.gov 2010) (explicit)</w:t>
            </w:r>
          </w:p>
        </w:tc>
        <w:tc>
          <w:tcPr>
            <w:tcW w:type="dxa" w:w="2592"/>
            <w:shd w:val="clear" w:color="auto" w:fill="F4F6FA"/>
          </w:tcPr>
          <w:p>
            <w:pPr>
              <w:spacing w:after="0" w:before="0"/>
            </w:pPr>
            <w:r/>
            <w:r>
              <w:rPr>
                <w:rFonts w:ascii="Calibri" w:hAnsi="Calibri"/>
                <w:b w:val="0"/>
                <w:i w:val="0"/>
                <w:sz w:val="16"/>
              </w:rPr>
              <w:t>by analogy: PMID:14655910 (Krystal et al. 2003), NCT:NCT01128582 (ClinicalTrials.gov 2009)</w:t>
            </w:r>
          </w:p>
        </w:tc>
      </w:tr>
      <w:tr>
        <w:tc>
          <w:tcPr>
            <w:tcW w:type="dxa" w:w="1152"/>
          </w:tcPr>
          <w:p>
            <w:pPr>
              <w:spacing w:after="0" w:before="0"/>
            </w:pPr>
            <w:r/>
            <w:r>
              <w:rPr>
                <w:rFonts w:ascii="Calibri" w:hAnsi="Calibri"/>
                <w:b w:val="0"/>
                <w:i w:val="0"/>
                <w:sz w:val="16"/>
              </w:rPr>
              <w:t>c4.L4.a1</w:t>
            </w:r>
          </w:p>
        </w:tc>
        <w:tc>
          <w:tcPr>
            <w:tcW w:type="dxa" w:w="1152"/>
          </w:tcPr>
          <w:p>
            <w:pPr>
              <w:spacing w:after="0" w:before="0"/>
            </w:pPr>
            <w:r/>
            <w:r>
              <w:rPr>
                <w:rFonts w:ascii="Calibri" w:hAnsi="Calibri"/>
                <w:b/>
                <w:i w:val="0"/>
                <w:color w:val="2E7D32"/>
                <w:sz w:val="16"/>
              </w:rPr>
              <w:t>CLOSED</w:t>
            </w:r>
          </w:p>
        </w:tc>
        <w:tc>
          <w:tcPr>
            <w:tcW w:type="dxa" w:w="2592"/>
          </w:tcPr>
          <w:p>
            <w:pPr>
              <w:spacing w:after="0" w:before="0"/>
            </w:pPr>
            <w:r/>
            <w:r>
              <w:rPr>
                <w:rFonts w:ascii="Calibri" w:hAnsi="Calibri"/>
                <w:b w:val="0"/>
                <w:i w:val="0"/>
                <w:sz w:val="16"/>
              </w:rPr>
              <w:t>US20050137247A1 (Czeisler et al.) (explicit); US20080182890A1 (Jochelson et al.) (explicit)</w:t>
            </w:r>
          </w:p>
        </w:tc>
        <w:tc>
          <w:tcPr>
            <w:tcW w:type="dxa" w:w="2592"/>
          </w:tcPr>
          <w:p>
            <w:pPr>
              <w:spacing w:after="0" w:before="0"/>
            </w:pPr>
            <w:r/>
            <w:r>
              <w:rPr>
                <w:rFonts w:ascii="Calibri" w:hAnsi="Calibri"/>
                <w:b w:val="0"/>
                <w:i w:val="0"/>
                <w:sz w:val="16"/>
              </w:rPr>
              <w:t>NCT:NCT01430754 (ClinicalTrials.gov 2011) (explicit); PMID:19054552 (Rajaratnam et al. 2009) (explicit)</w:t>
            </w:r>
          </w:p>
        </w:tc>
        <w:tc>
          <w:tcPr>
            <w:tcW w:type="dxa" w:w="2592"/>
          </w:tcPr>
          <w:p>
            <w:pPr>
              <w:spacing w:after="0" w:before="0"/>
            </w:pPr>
            <w:r/>
            <w:r>
              <w:rPr>
                <w:rFonts w:ascii="Calibri" w:hAnsi="Calibri"/>
                <w:b w:val="0"/>
                <w:i w:val="0"/>
                <w:sz w:val="16"/>
              </w:rPr>
              <w:t>by analogy: US20100204205A1 (Barak et al.)</w:t>
            </w:r>
          </w:p>
        </w:tc>
      </w:tr>
    </w:tbl>
    <w:p>
      <w:pPr>
        <w:spacing w:after="40" w:before="0"/>
      </w:pPr>
    </w:p>
    <w:p>
      <w:pPr>
        <w:spacing w:after="20" w:before="0"/>
      </w:pPr>
      <w:r>
        <w:rPr>
          <w:rFonts w:ascii="Calibri" w:hAnsi="Calibri"/>
          <w:b/>
          <w:i w:val="0"/>
          <w:sz w:val="17"/>
        </w:rPr>
        <w:t>c1.L1.a1 -- US20040044064A1 (Lewy et al.) (partial):</w:t>
      </w:r>
    </w:p>
    <w:p>
      <w:pPr>
        <w:spacing w:after="60" w:before="0"/>
        <w:ind w:left="280"/>
      </w:pPr>
      <w:r>
        <w:rPr>
          <w:rFonts w:ascii="Calibri" w:hAnsi="Calibri"/>
          <w:b w:val="0"/>
          <w:i/>
          <w:color w:val="142B4A"/>
          <w:sz w:val="17"/>
        </w:rPr>
        <w:t>“A method for alleviating a circadian rhythm disorder in a human, the method comprising the step of achieving a circadian phase-delaying effect in the human according to the method of claims 1 , 2 , 3 or 4 .”</w:t>
      </w:r>
    </w:p>
    <w:p>
      <w:pPr>
        <w:spacing w:after="20" w:before="0"/>
      </w:pPr>
      <w:r>
        <w:rPr>
          <w:rFonts w:ascii="Calibri" w:hAnsi="Calibri"/>
          <w:b/>
          <w:i w:val="0"/>
          <w:sz w:val="17"/>
        </w:rPr>
        <w:t>c1.L1.a2 -- EP2308491B1 (Bradford et al.) (explicit):</w:t>
      </w:r>
    </w:p>
    <w:p>
      <w:pPr>
        <w:spacing w:after="60" w:before="0"/>
        <w:ind w:left="280"/>
      </w:pPr>
      <w:r>
        <w:rPr>
          <w:rFonts w:ascii="Calibri" w:hAnsi="Calibri"/>
          <w:b w:val="0"/>
          <w:i/>
          <w:color w:val="142B4A"/>
          <w:sz w:val="17"/>
        </w:rPr>
        <w:t>“wherein the strong inducer is cigarette smoke, smoking or rifampicin”</w:t>
      </w:r>
    </w:p>
    <w:p>
      <w:pPr>
        <w:spacing w:after="20" w:before="0"/>
      </w:pPr>
      <w:r>
        <w:rPr>
          <w:rFonts w:ascii="Calibri" w:hAnsi="Calibri"/>
          <w:b/>
          <w:i w:val="0"/>
          <w:sz w:val="17"/>
        </w:rPr>
        <w:t>c1.L2.a1 -- PMID:12882588 (Niemi et al. 2003) (functional inference):</w:t>
      </w:r>
    </w:p>
    <w:p>
      <w:pPr>
        <w:spacing w:after="60" w:before="0"/>
        <w:ind w:left="280"/>
      </w:pPr>
      <w:r>
        <w:rPr>
          <w:rFonts w:ascii="Calibri" w:hAnsi="Calibri"/>
          <w:b w:val="0"/>
          <w:i/>
          <w:color w:val="142B4A"/>
          <w:sz w:val="17"/>
        </w:rPr>
        <w:t>“Rifampicin has its greatest effects on the pharmacokinetics of orally administered drugs that are metabolised by CYP3A4 and/or are transported by P-glycoprotein.”</w:t>
      </w:r>
    </w:p>
    <w:p>
      <w:pPr>
        <w:spacing w:after="20" w:before="0"/>
      </w:pPr>
      <w:r>
        <w:rPr>
          <w:rFonts w:ascii="Calibri" w:hAnsi="Calibri"/>
          <w:b/>
          <w:i w:val="0"/>
          <w:sz w:val="17"/>
        </w:rPr>
        <w:t>c2.L1.a1 -- US8101596B2 (Edgar et al.) (explicit):</w:t>
      </w:r>
    </w:p>
    <w:p>
      <w:pPr>
        <w:spacing w:after="60" w:before="0"/>
        <w:ind w:left="280"/>
      </w:pPr>
      <w:r>
        <w:rPr>
          <w:rFonts w:ascii="Calibri" w:hAnsi="Calibri"/>
          <w:b w:val="0"/>
          <w:i/>
          <w:color w:val="142B4A"/>
          <w:sz w:val="17"/>
        </w:rPr>
        <w:t>“Circadian rhythm sleep disorders include, for example, time-zone change (jet lag) syndrome, shift work sleep disorder, irregular sleep-wake pattern, delayed sleep phase syndrome, advanced sleep phase syndrome, and non-24-hour sleep-wake disorder.”</w:t>
      </w:r>
    </w:p>
    <w:p>
      <w:pPr>
        <w:spacing w:after="20" w:before="0"/>
      </w:pPr>
      <w:r>
        <w:rPr>
          <w:rFonts w:ascii="Calibri" w:hAnsi="Calibri"/>
          <w:b/>
          <w:i w:val="0"/>
          <w:sz w:val="17"/>
        </w:rPr>
        <w:t>c3.L1.a1 -- NCT:NCT01218789 (ClinicalTrials.gov 2010) (explicit):</w:t>
      </w:r>
    </w:p>
    <w:p>
      <w:pPr>
        <w:spacing w:after="60" w:before="0"/>
        <w:ind w:left="280"/>
      </w:pPr>
      <w:r>
        <w:rPr>
          <w:rFonts w:ascii="Calibri" w:hAnsi="Calibri"/>
          <w:b w:val="0"/>
          <w:i/>
          <w:color w:val="142B4A"/>
          <w:sz w:val="17"/>
        </w:rPr>
        <w:t>“in Blind Individuals With No Light Perception”</w:t>
      </w:r>
    </w:p>
    <w:p>
      <w:pPr>
        <w:spacing w:after="20" w:before="0"/>
      </w:pPr>
      <w:r>
        <w:rPr>
          <w:rFonts w:ascii="Calibri" w:hAnsi="Calibri"/>
          <w:b/>
          <w:i w:val="0"/>
          <w:sz w:val="17"/>
        </w:rPr>
        <w:t>c4.L1.a1 -- US20040044064A1 (Lewy et al.) (explicit):</w:t>
      </w:r>
    </w:p>
    <w:p>
      <w:pPr>
        <w:spacing w:after="60" w:before="0"/>
        <w:ind w:left="280"/>
      </w:pPr>
      <w:r>
        <w:rPr>
          <w:rFonts w:ascii="Calibri" w:hAnsi="Calibri"/>
          <w:b w:val="0"/>
          <w:i/>
          <w:color w:val="142B4A"/>
          <w:sz w:val="17"/>
        </w:rPr>
        <w:t>“In a preferred embodiment of this invention, melatonin is administered orally.”</w:t>
      </w:r>
    </w:p>
    <w:p>
      <w:pPr>
        <w:spacing w:after="20" w:before="0"/>
      </w:pPr>
      <w:r>
        <w:rPr>
          <w:rFonts w:ascii="Calibri" w:hAnsi="Calibri"/>
          <w:b/>
          <w:i w:val="0"/>
          <w:sz w:val="17"/>
        </w:rPr>
        <w:t>c4.L2.a1 -- US20100261786A1 (Lavedan et al.) (explicit):</w:t>
      </w:r>
    </w:p>
    <w:p>
      <w:pPr>
        <w:spacing w:after="60" w:before="0"/>
        <w:ind w:left="280"/>
      </w:pPr>
      <w:r>
        <w:rPr>
          <w:rFonts w:ascii="Calibri" w:hAnsi="Calibri"/>
          <w:b w:val="0"/>
          <w:i/>
          <w:color w:val="142B4A"/>
          <w:sz w:val="17"/>
        </w:rPr>
        <w:t>“A typical unit dose form could be size 0 or size 1 capsule comprising 20, 50, or 100 mg of (1R-trans)-N-[[2-(2,3-dihydro-4-benzofuranyl)cyclopropyl]methyl]propanamide”</w:t>
      </w:r>
    </w:p>
    <w:p>
      <w:pPr>
        <w:spacing w:after="20" w:before="0"/>
      </w:pPr>
      <w:r>
        <w:rPr>
          <w:rFonts w:ascii="Calibri" w:hAnsi="Calibri"/>
          <w:b/>
          <w:i w:val="0"/>
          <w:sz w:val="17"/>
        </w:rPr>
        <w:t>c4.L3.a1 -- US20050137247A1 (Czeisler et al.) (explicit):</w:t>
      </w:r>
    </w:p>
    <w:p>
      <w:pPr>
        <w:spacing w:after="60" w:before="0"/>
        <w:ind w:left="280"/>
      </w:pPr>
      <w:r>
        <w:rPr>
          <w:rFonts w:ascii="Calibri" w:hAnsi="Calibri"/>
          <w:b w:val="0"/>
          <w:i/>
          <w:color w:val="142B4A"/>
          <w:sz w:val="17"/>
        </w:rPr>
        <w:t>“wherein said melatonin receptor agonist is administered to said subject at night time or before the patient's bedtime on a daily basis”</w:t>
      </w:r>
    </w:p>
    <w:p>
      <w:pPr>
        <w:spacing w:after="20" w:before="0"/>
      </w:pPr>
      <w:r>
        <w:rPr>
          <w:rFonts w:ascii="Calibri" w:hAnsi="Calibri"/>
          <w:b/>
          <w:i w:val="0"/>
          <w:sz w:val="17"/>
        </w:rPr>
        <w:t>c4.L4.a1 -- US20050137247A1 (Czeisler et al.) (explicit):</w:t>
      </w:r>
    </w:p>
    <w:p>
      <w:pPr>
        <w:spacing w:after="60" w:before="0"/>
        <w:ind w:left="280"/>
      </w:pPr>
      <w:r>
        <w:rPr>
          <w:rFonts w:ascii="Calibri" w:hAnsi="Calibri"/>
          <w:b w:val="0"/>
          <w:i/>
          <w:color w:val="142B4A"/>
          <w:sz w:val="17"/>
        </w:rPr>
        <w:t>“wherein said melatonin receptor agonist is administered to said subject about 1 hour before the patient's bedtime.”</w:t>
      </w:r>
    </w:p>
    <w:p>
      <w:pPr>
        <w:spacing w:after="20" w:before="0"/>
      </w:pPr>
      <w:r>
        <w:rPr>
          <w:rFonts w:ascii="Calibri" w:hAnsi="Calibri"/>
          <w:b/>
          <w:i w:val="0"/>
          <w:sz w:val="17"/>
        </w:rPr>
        <w:t>Reason to combine -- rifampicin (Antibiotics, Antitubercular, Leprostatic Agents), pieces c1.L1.a2, c1.L2.a1: sentences in the papers about the subject drug that name rifampicin or its class:</w:t>
      </w:r>
    </w:p>
    <w:p>
      <w:pPr>
        <w:spacing w:after="40" w:before="0"/>
        <w:ind w:left="280"/>
      </w:pPr>
      <w:r>
        <w:rPr>
          <w:rFonts w:ascii="Calibri" w:hAnsi="Calibri"/>
          <w:b/>
          <w:i w:val="0"/>
          <w:color w:val="142B4A"/>
          <w:sz w:val="17"/>
        </w:rPr>
        <w:t xml:space="preserve">PMID:20945020 (Sukys-Claudino et al. 2010): </w:t>
      </w:r>
      <w:r>
        <w:rPr>
          <w:rFonts w:ascii="Calibri" w:hAnsi="Calibri"/>
          <w:b w:val="0"/>
          <w:i/>
          <w:color w:val="142B4A"/>
          <w:sz w:val="17"/>
        </w:rPr>
        <w:t>“A coadministração de ramelteon com cetoconazol e fluconazol ou indutores tais como rifampicina, carbamazepina ou barbitúricos deve ser evitada 20.”</w:t>
      </w:r>
    </w:p>
    <w:p>
      <w:pPr>
        <w:spacing w:after="40" w:before="0"/>
        <w:ind w:left="280"/>
      </w:pPr>
      <w:r>
        <w:rPr>
          <w:rFonts w:ascii="Calibri" w:hAnsi="Calibri"/>
          <w:b/>
          <w:i w:val="0"/>
          <w:color w:val="142B4A"/>
          <w:sz w:val="17"/>
        </w:rPr>
        <w:t xml:space="preserve">PMID:23861638 (Pandi-Perumal et al. 2011): </w:t>
      </w:r>
      <w:r>
        <w:rPr>
          <w:rFonts w:ascii="Calibri" w:hAnsi="Calibri"/>
          <w:b w:val="0"/>
          <w:i/>
          <w:color w:val="142B4A"/>
          <w:sz w:val="17"/>
        </w:rPr>
        <w:t>“The CYP inducer rifampin has been shown to considerably decrease levels of both ramelteon and its metabolite M-II.”</w:t>
      </w:r>
    </w:p>
    <w:p>
      <w:pPr>
        <w:spacing w:after="40" w:before="0"/>
        <w:ind w:left="280"/>
      </w:pPr>
      <w:r>
        <w:rPr>
          <w:rFonts w:ascii="Calibri" w:hAnsi="Calibri"/>
          <w:b/>
          <w:i w:val="0"/>
          <w:color w:val="142B4A"/>
          <w:sz w:val="17"/>
        </w:rPr>
        <w:t xml:space="preserve">DOI:10.4021/jnr93w (Srinivasan 2012): </w:t>
      </w:r>
      <w:r>
        <w:rPr>
          <w:rFonts w:ascii="Calibri" w:hAnsi="Calibri"/>
          <w:b w:val="0"/>
          <w:i/>
          <w:color w:val="142B4A"/>
          <w:sz w:val="17"/>
        </w:rPr>
        <w:t>“Melatonin, Biosynthesis and Metabolism Melatonin (N-acetyl-5-methoxytryptamine) is synthesized mainly by the pineal gland in all mammals but is also formed by many other organs and tissues in the body.”</w:t>
      </w:r>
    </w:p>
    <w:p>
      <w:pPr>
        <w:spacing w:after="40" w:before="0"/>
        <w:ind w:left="280"/>
      </w:pPr>
      <w:r>
        <w:rPr>
          <w:rFonts w:ascii="Calibri" w:hAnsi="Calibri"/>
          <w:b/>
          <w:i w:val="0"/>
          <w:color w:val="142B4A"/>
          <w:sz w:val="17"/>
        </w:rPr>
        <w:t xml:space="preserve">DOI:10.4021/jnr93w (Srinivasan 2012): </w:t>
      </w:r>
      <w:r>
        <w:rPr>
          <w:rFonts w:ascii="Calibri" w:hAnsi="Calibri"/>
          <w:b w:val="0"/>
          <w:i/>
          <w:color w:val="142B4A"/>
          <w:sz w:val="17"/>
        </w:rPr>
        <w:t>“Inhibition of respiratory enzyme complexes, with increased electron leakage, decreased oxygen con - sumption and decreased ATP synthesis caused by increased oxidative stress ultimately contribute to neuronal cell death by necrosis or apoptosis.”</w:t>
      </w:r>
    </w:p>
    <w:p>
      <w:pPr>
        <w:spacing w:after="40" w:before="0"/>
        <w:ind w:left="280"/>
      </w:pPr>
      <w:r>
        <w:rPr>
          <w:rFonts w:ascii="Calibri" w:hAnsi="Calibri"/>
          <w:b/>
          <w:i w:val="0"/>
          <w:color w:val="142B4A"/>
          <w:sz w:val="17"/>
        </w:rPr>
        <w:t xml:space="preserve">PMID:18673165 (Rivara et al. 2008): </w:t>
      </w:r>
      <w:r>
        <w:rPr>
          <w:rFonts w:ascii="Calibri" w:hAnsi="Calibri"/>
          <w:b w:val="0"/>
          <w:i/>
          <w:color w:val="142B4A"/>
          <w:sz w:val="17"/>
        </w:rPr>
        <w:t>“Melatonin (N-acetyl-5-methoxytryptamine) is synthesized and released by the pineal gland following a circadian rhythm characterized by high levels during the night.”</w:t>
      </w:r>
    </w:p>
    <w:p>
      <w:pPr>
        <w:spacing w:after="40" w:before="0"/>
        <w:ind w:left="280"/>
      </w:pPr>
      <w:r>
        <w:rPr>
          <w:rFonts w:ascii="Calibri" w:hAnsi="Calibri"/>
          <w:b/>
          <w:i w:val="0"/>
          <w:color w:val="142B4A"/>
          <w:sz w:val="17"/>
        </w:rPr>
        <w:t xml:space="preserve">PMID:18827285 (Arendt et al. 2008): </w:t>
      </w:r>
      <w:r>
        <w:rPr>
          <w:rFonts w:ascii="Calibri" w:hAnsi="Calibri"/>
          <w:b w:val="0"/>
          <w:i/>
          <w:color w:val="142B4A"/>
          <w:sz w:val="17"/>
        </w:rPr>
        <w:t>“Foremost among these are an ability to provide a biological signal for dawn and dusk, to change the timing of the ‘internal clock’ , which for mammals is located in the suprachiasmatic nuclei of the hypo- thalamus, and to promote sleepiness or sleep. 1,2…”</w:t>
      </w:r>
    </w:p>
    <w:p>
      <w:pPr>
        <w:spacing w:after="40" w:before="0"/>
        <w:ind w:left="280"/>
      </w:pPr>
      <w:r>
        <w:rPr>
          <w:rFonts w:ascii="Calibri" w:hAnsi="Calibri"/>
          <w:b/>
          <w:i w:val="0"/>
          <w:color w:val="142B4A"/>
          <w:sz w:val="17"/>
        </w:rPr>
        <w:t xml:space="preserve">PMID:18827285 (Arendt et al. 2008): </w:t>
      </w:r>
      <w:r>
        <w:rPr>
          <w:rFonts w:ascii="Calibri" w:hAnsi="Calibri"/>
          <w:b w:val="0"/>
          <w:i/>
          <w:color w:val="142B4A"/>
          <w:sz w:val="17"/>
        </w:rPr>
        <w:t>“Halogenated melatonin Probably the first analogues to be synthesised were 6- and 2- halogenated melatonins.”</w:t>
      </w:r>
    </w:p>
    <w:p>
      <w:pPr>
        <w:spacing w:after="40" w:before="0"/>
        <w:ind w:left="280"/>
      </w:pPr>
      <w:r>
        <w:rPr>
          <w:rFonts w:ascii="Calibri" w:hAnsi="Calibri"/>
          <w:b/>
          <w:i w:val="0"/>
          <w:color w:val="142B4A"/>
          <w:sz w:val="17"/>
        </w:rPr>
        <w:t xml:space="preserve">PMID:19429170 (Fisher et al. 2009): </w:t>
      </w:r>
      <w:r>
        <w:rPr>
          <w:rFonts w:ascii="Calibri" w:hAnsi="Calibri"/>
          <w:b w:val="0"/>
          <w:i/>
          <w:color w:val="142B4A"/>
          <w:sz w:val="17"/>
        </w:rPr>
        <w:t>“Melatonin synthesis in the pineal gland is controlled by the master circadian oscillator in the suprachiasmatic nucleus (SCN) which drives the release of noradrenaline from the sympathetic, autonomic neurones which innervate the gland.”</w:t>
      </w:r>
    </w:p>
    <w:p>
      <w:pPr>
        <w:spacing w:after="20" w:before="0"/>
      </w:pPr>
      <w:r>
        <w:rPr>
          <w:rFonts w:ascii="Calibri" w:hAnsi="Calibri"/>
          <w:b/>
          <w:i w:val="0"/>
          <w:sz w:val="17"/>
        </w:rPr>
        <w:t>Reason to combine -- target (class not resolved), pieces c4.L4.a1: sentences in the papers about the subject drug that name target or its class:</w:t>
      </w:r>
    </w:p>
    <w:p>
      <w:pPr>
        <w:spacing w:after="40" w:before="0"/>
        <w:ind w:left="280"/>
      </w:pPr>
      <w:r>
        <w:rPr>
          <w:rFonts w:ascii="Calibri" w:hAnsi="Calibri"/>
          <w:b/>
          <w:i w:val="0"/>
          <w:color w:val="142B4A"/>
          <w:sz w:val="17"/>
        </w:rPr>
        <w:t xml:space="preserve">DOI:10.13078/jksrs.11007 (Kim 2011): </w:t>
      </w:r>
      <w:r>
        <w:rPr>
          <w:rFonts w:ascii="Calibri" w:hAnsi="Calibri"/>
          <w:b w:val="0"/>
          <w:i/>
          <w:color w:val="142B4A"/>
          <w:sz w:val="17"/>
        </w:rPr>
        <w:t>“Multi-target strategies for the improved treatment of depressive states: conceptual foundations and neuronal substrates, drug discovery and therapeutic application.”</w:t>
      </w:r>
    </w:p>
    <w:p>
      <w:pPr>
        <w:spacing w:after="40" w:before="0"/>
        <w:ind w:left="280"/>
      </w:pPr>
      <w:r>
        <w:rPr>
          <w:rFonts w:ascii="Calibri" w:hAnsi="Calibri"/>
          <w:b/>
          <w:i w:val="0"/>
          <w:color w:val="142B4A"/>
          <w:sz w:val="17"/>
        </w:rPr>
        <w:t xml:space="preserve">DOI:10.4021/jnr93w (Srinivasan 2012): </w:t>
      </w:r>
      <w:r>
        <w:rPr>
          <w:rFonts w:ascii="Calibri" w:hAnsi="Calibri"/>
          <w:b w:val="0"/>
          <w:i/>
          <w:color w:val="142B4A"/>
          <w:sz w:val="17"/>
        </w:rPr>
        <w:t>“Mitochondrial Involvement in Alzheimer’s Dis- ease Mitochondria are not only the major source of reactive oxy - gen species (ROS) but also the primary target of attack by ROS and reactive nitrogen species [19].”</w:t>
      </w:r>
    </w:p>
    <w:p>
      <w:pPr>
        <w:spacing w:after="40" w:before="0"/>
        <w:ind w:left="280"/>
      </w:pPr>
      <w:r>
        <w:rPr>
          <w:rFonts w:ascii="Calibri" w:hAnsi="Calibri"/>
          <w:b/>
          <w:i w:val="0"/>
          <w:color w:val="142B4A"/>
          <w:sz w:val="17"/>
        </w:rPr>
        <w:t xml:space="preserve">DOI:10.4021/jnr93w (Srinivasan 2012): </w:t>
      </w:r>
      <w:r>
        <w:rPr>
          <w:rFonts w:ascii="Calibri" w:hAnsi="Calibri"/>
          <w:b w:val="0"/>
          <w:i/>
          <w:color w:val="142B4A"/>
          <w:sz w:val="17"/>
        </w:rPr>
        <w:t>“Effects of Alzheimer disease and identification of lipoxidation targets.”</w:t>
      </w:r>
    </w:p>
    <w:p>
      <w:pPr>
        <w:spacing w:after="40" w:before="0"/>
        <w:ind w:left="280"/>
      </w:pPr>
      <w:r>
        <w:rPr>
          <w:rFonts w:ascii="Calibri" w:hAnsi="Calibri"/>
          <w:b/>
          <w:i w:val="0"/>
          <w:color w:val="142B4A"/>
          <w:sz w:val="17"/>
        </w:rPr>
        <w:t xml:space="preserve">NCT:NCT01163032 (ClinicalTrials.gov 2010): </w:t>
      </w:r>
      <w:r>
        <w:rPr>
          <w:rFonts w:ascii="Calibri" w:hAnsi="Calibri"/>
          <w:b w:val="0"/>
          <w:i/>
          <w:color w:val="142B4A"/>
          <w:sz w:val="17"/>
        </w:rPr>
        <w:t>“The pre-randomization phase comprises a screening visit where subject's initial eligibility will be evaluated, a circadian period (τ) estimation segment, and a variable-length in-phase transition segment in which subjects will wait to start treatment until…”</w:t>
      </w:r>
    </w:p>
    <w:p>
      <w:pPr>
        <w:spacing w:after="40" w:before="0"/>
        <w:ind w:left="280"/>
      </w:pPr>
      <w:r>
        <w:rPr>
          <w:rFonts w:ascii="Calibri" w:hAnsi="Calibri"/>
          <w:b/>
          <w:i w:val="0"/>
          <w:color w:val="142B4A"/>
          <w:sz w:val="17"/>
        </w:rPr>
        <w:t xml:space="preserve">NCT:NCT01163032 (ClinicalTrials.gov 2010): </w:t>
      </w:r>
      <w:r>
        <w:rPr>
          <w:rFonts w:ascii="Calibri" w:hAnsi="Calibri"/>
          <w:b w:val="0"/>
          <w:i/>
          <w:color w:val="142B4A"/>
          <w:sz w:val="17"/>
        </w:rPr>
        <w:t>“During the randomization phase, subjects will be asked to take either 20 mg tasimelteon or placebo approximately 1 hour prior to their target bedtime for 26 weeks in a double-masked fashion.”</w:t>
      </w:r>
    </w:p>
    <w:p>
      <w:pPr>
        <w:spacing w:after="40" w:before="0"/>
        <w:ind w:left="280"/>
      </w:pPr>
      <w:r>
        <w:rPr>
          <w:rFonts w:ascii="Calibri" w:hAnsi="Calibri"/>
          <w:b/>
          <w:i w:val="0"/>
          <w:color w:val="142B4A"/>
          <w:sz w:val="17"/>
        </w:rPr>
        <w:t xml:space="preserve">NCT:NCT01218789 (ClinicalTrials.gov 2010): </w:t>
      </w:r>
      <w:r>
        <w:rPr>
          <w:rFonts w:ascii="Calibri" w:hAnsi="Calibri"/>
          <w:b w:val="0"/>
          <w:i/>
          <w:color w:val="142B4A"/>
          <w:sz w:val="17"/>
        </w:rPr>
        <w:t>“Patients that meet all entry criteria for the study at baseline visit will enter the treatment segment where patients will be asked to take 20 mg tasimelteon daily approximately 60 minutes prior to their target bedtime for 52 weeks in an open-label fashion.”</w:t>
      </w:r>
    </w:p>
    <w:p>
      <w:pPr>
        <w:spacing w:after="40" w:before="0"/>
        <w:ind w:left="280"/>
      </w:pPr>
      <w:r>
        <w:rPr>
          <w:rFonts w:ascii="Calibri" w:hAnsi="Calibri"/>
          <w:b/>
          <w:i w:val="0"/>
          <w:color w:val="142B4A"/>
          <w:sz w:val="17"/>
        </w:rPr>
        <w:t xml:space="preserve">NCT:NCT01430754 (ClinicalTrials.gov 2011): </w:t>
      </w:r>
      <w:r>
        <w:rPr>
          <w:rFonts w:ascii="Calibri" w:hAnsi="Calibri"/>
          <w:b w:val="0"/>
          <w:i/>
          <w:color w:val="142B4A"/>
          <w:sz w:val="17"/>
        </w:rPr>
        <w:t>“The randomized withdrawal phase comprises approximately eight weeks of treatment with either placebo or tasimelteon 20 mg taken approximately 1 hour prior to their target bedtime in a double-masked fashion. tasimelteon: 20 mg tasimelteon capsules Placebo:…”</w:t>
      </w:r>
    </w:p>
    <w:p>
      <w:pPr>
        <w:spacing w:after="40" w:before="0"/>
        <w:ind w:left="280"/>
      </w:pPr>
      <w:r>
        <w:rPr>
          <w:rFonts w:ascii="Calibri" w:hAnsi="Calibri"/>
          <w:b/>
          <w:i w:val="0"/>
          <w:color w:val="142B4A"/>
          <w:sz w:val="17"/>
        </w:rPr>
        <w:t xml:space="preserve">PMID:18827285 (Arendt et al. 2008): </w:t>
      </w:r>
      <w:r>
        <w:rPr>
          <w:rFonts w:ascii="Calibri" w:hAnsi="Calibri"/>
          <w:b w:val="0"/>
          <w:i/>
          <w:color w:val="142B4A"/>
          <w:sz w:val="17"/>
        </w:rPr>
        <w:t>“Depression is specifically targeted by agomelatine, which is also a serotonin-2C (5-HT 2C) antagonist.”</w:t>
      </w:r>
    </w:p>
    <w:p>
      <w:pPr>
        <w:keepNext/>
        <w:spacing w:before="120" w:after="40"/>
      </w:pPr>
      <w:r>
        <w:rPr>
          <w:rFonts w:ascii="Calibri Light" w:hAnsi="Calibri Light"/>
          <w:b/>
          <w:i w:val="0"/>
          <w:color w:val="142B4A"/>
          <w:sz w:val="23"/>
        </w:rPr>
        <w:t>03b · Prior-art patents on file, by limitation</w:t>
      </w:r>
    </w:p>
    <w:p>
      <w:pPr>
        <w:spacing w:after="80" w:before="0"/>
      </w:pPr>
      <w:r>
        <w:rPr>
          <w:rFonts w:ascii="Calibri" w:hAnsi="Calibri"/>
          <w:b w:val="0"/>
          <w:i w:val="0"/>
          <w:sz w:val="18"/>
        </w:rPr>
        <w:t>Every eligible pre-priority patent graded on this run that covers a limitation (PARTIAL or better, or a sound inference; quote verified against the patent's full text), strongest first, up to six per limitation; members of one patent family share a row. The combination above needs only the fewest references; this table is the depth of the patent record behind each piece. 6 limitation(s) are stated outright by a patent, so no paper search was needed for them.</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720"/>
            <w:shd w:val="clear" w:color="auto" w:fill="142B4A"/>
          </w:tcPr>
          <w:p>
            <w:pPr>
              <w:spacing w:after="0" w:before="0"/>
            </w:pPr>
            <w:r/>
            <w:r>
              <w:rPr>
                <w:rFonts w:ascii="Calibri" w:hAnsi="Calibri"/>
                <w:b/>
                <w:i w:val="0"/>
                <w:color w:val="C9A227"/>
                <w:sz w:val="15"/>
              </w:rPr>
              <w:t>LIM.</w:t>
            </w:r>
          </w:p>
        </w:tc>
        <w:tc>
          <w:tcPr>
            <w:tcW w:type="dxa" w:w="2016"/>
            <w:shd w:val="clear" w:color="auto" w:fill="142B4A"/>
          </w:tcPr>
          <w:p>
            <w:pPr>
              <w:spacing w:after="0" w:before="0"/>
            </w:pPr>
            <w:r/>
            <w:r>
              <w:rPr>
                <w:rFonts w:ascii="Calibri" w:hAnsi="Calibri"/>
                <w:b/>
                <w:i w:val="0"/>
                <w:color w:val="C9A227"/>
                <w:sz w:val="15"/>
              </w:rPr>
              <w:t>PATENT · DATE · BASIS</w:t>
            </w:r>
          </w:p>
        </w:tc>
        <w:tc>
          <w:tcPr>
            <w:tcW w:type="dxa" w:w="1440"/>
            <w:shd w:val="clear" w:color="auto" w:fill="142B4A"/>
          </w:tcPr>
          <w:p>
            <w:pPr>
              <w:spacing w:after="0" w:before="0"/>
            </w:pPr>
            <w:r/>
            <w:r>
              <w:rPr>
                <w:rFonts w:ascii="Calibri" w:hAnsi="Calibri"/>
                <w:b/>
                <w:i w:val="0"/>
                <w:color w:val="C9A227"/>
                <w:sz w:val="15"/>
              </w:rPr>
              <w:t>GRADE</w:t>
            </w:r>
          </w:p>
        </w:tc>
        <w:tc>
          <w:tcPr>
            <w:tcW w:type="dxa" w:w="4320"/>
            <w:shd w:val="clear" w:color="auto" w:fill="142B4A"/>
          </w:tcPr>
          <w:p>
            <w:pPr>
              <w:spacing w:after="0" w:before="0"/>
            </w:pPr>
            <w:r/>
            <w:r>
              <w:rPr>
                <w:rFonts w:ascii="Calibri" w:hAnsi="Calibri"/>
                <w:b/>
                <w:i w:val="0"/>
                <w:color w:val="C9A227"/>
                <w:sz w:val="15"/>
              </w:rPr>
              <w:t>DISCLOSURE (VERBATIM)</w:t>
            </w:r>
          </w:p>
        </w:tc>
        <w:tc>
          <w:tcPr>
            <w:tcW w:type="dxa" w:w="1728"/>
            <w:shd w:val="clear" w:color="auto" w:fill="142B4A"/>
          </w:tcPr>
          <w:p>
            <w:pPr>
              <w:spacing w:after="0" w:before="0"/>
            </w:pPr>
            <w:r/>
            <w:r>
              <w:rPr>
                <w:rFonts w:ascii="Calibri" w:hAnsi="Calibri"/>
                <w:b/>
                <w:i w:val="0"/>
                <w:color w:val="C9A227"/>
                <w:sz w:val="15"/>
              </w:rPr>
              <w:t>ROLE</w:t>
            </w:r>
          </w:p>
        </w:tc>
      </w:tr>
      <w:tr>
        <w:tc>
          <w:tcPr>
            <w:tcW w:type="dxa" w:w="720"/>
          </w:tcPr>
          <w:p>
            <w:pPr>
              <w:spacing w:after="0" w:before="0"/>
            </w:pPr>
            <w:r/>
            <w:r>
              <w:rPr>
                <w:rFonts w:ascii="Calibri" w:hAnsi="Calibri"/>
                <w:b w:val="0"/>
                <w:i w:val="0"/>
                <w:sz w:val="16"/>
              </w:rPr>
              <w:t>c1.L1.a1</w:t>
            </w:r>
          </w:p>
        </w:tc>
        <w:tc>
          <w:tcPr>
            <w:tcW w:type="dxa" w:w="2016"/>
          </w:tcPr>
          <w:p>
            <w:pPr>
              <w:spacing w:after="0" w:before="0"/>
            </w:pPr>
            <w:r/>
            <w:r>
              <w:rPr>
                <w:rFonts w:ascii="Calibri" w:hAnsi="Calibri"/>
                <w:b/>
                <w:i w:val="0"/>
                <w:color w:val="142B4A"/>
                <w:sz w:val="16"/>
              </w:rPr>
              <w:t>US20040044064A1 (Lewy et al.)</w:t>
            </w:r>
            <w:r>
              <w:rPr>
                <w:rFonts w:ascii="Calibri" w:hAnsi="Calibri"/>
                <w:b w:val="0"/>
                <w:i w:val="0"/>
                <w:color w:val="595959"/>
                <w:sz w:val="16"/>
              </w:rPr>
              <w:br/>
              <w:t>2004-03-04 · 102(a)(1)</w:t>
            </w:r>
          </w:p>
        </w:tc>
        <w:tc>
          <w:tcPr>
            <w:tcW w:type="dxa" w:w="1440"/>
          </w:tcPr>
          <w:p>
            <w:pPr>
              <w:spacing w:after="0" w:before="0"/>
            </w:pPr>
            <w:r/>
            <w:r>
              <w:rPr>
                <w:rFonts w:ascii="Calibri" w:hAnsi="Calibri"/>
                <w:b/>
                <w:i w:val="0"/>
                <w:color w:val="142B4A"/>
                <w:sz w:val="16"/>
              </w:rPr>
              <w:t>PARTIAL</w:t>
            </w:r>
          </w:p>
        </w:tc>
        <w:tc>
          <w:tcPr>
            <w:tcW w:type="dxa" w:w="4320"/>
          </w:tcPr>
          <w:p>
            <w:pPr>
              <w:spacing w:after="0" w:before="0"/>
            </w:pPr>
            <w:r/>
            <w:r>
              <w:rPr>
                <w:rFonts w:ascii="Calibri" w:hAnsi="Calibri"/>
                <w:b w:val="0"/>
                <w:i w:val="0"/>
                <w:sz w:val="16"/>
              </w:rPr>
              <w:t>“A method for alleviating a circadian rhythm disorder in a human, the method comprising the step of achieving a circadian phase-delaying effect in the human according to the method of claims 1 , 2 , 3 or 4 .”</w:t>
            </w:r>
            <w:r>
              <w:rPr>
                <w:rFonts w:ascii="Calibri" w:hAnsi="Calibri"/>
                <w:b w:val="0"/>
                <w:i w:val="0"/>
                <w:color w:val="595959"/>
                <w:sz w:val="16"/>
              </w:rPr>
              <w:t xml:space="preserve"> — Claim 11</w:t>
            </w:r>
          </w:p>
        </w:tc>
        <w:tc>
          <w:tcPr>
            <w:tcW w:type="dxa" w:w="1728"/>
          </w:tcPr>
          <w:p>
            <w:pPr>
              <w:spacing w:after="0" w:before="0"/>
            </w:pPr>
            <w:r/>
            <w:r>
              <w:rPr>
                <w:rFonts w:ascii="Calibri" w:hAnsi="Calibri"/>
                <w:b w:val="0"/>
                <w:i w:val="0"/>
                <w:sz w:val="16"/>
              </w:rPr>
              <w:t>in the combination</w:t>
            </w:r>
          </w:p>
        </w:tc>
      </w:tr>
      <w:tr>
        <w:tc>
          <w:tcPr>
            <w:tcW w:type="dxa" w:w="720"/>
            <w:shd w:val="clear" w:color="auto" w:fill="F4F6FA"/>
          </w:tcPr>
          <w:p>
            <w:pPr>
              <w:spacing w:after="0" w:before="0"/>
            </w:pPr>
            <w:r/>
            <w:r>
              <w:rPr>
                <w:rFonts w:ascii="Calibri" w:hAnsi="Calibri"/>
                <w:b w:val="0"/>
                <w:i w:val="0"/>
                <w:sz w:val="16"/>
              </w:rPr>
              <w:t>c1.L1.a1</w:t>
            </w:r>
          </w:p>
        </w:tc>
        <w:tc>
          <w:tcPr>
            <w:tcW w:type="dxa" w:w="2016"/>
            <w:shd w:val="clear" w:color="auto" w:fill="F4F6FA"/>
          </w:tcPr>
          <w:p>
            <w:pPr>
              <w:spacing w:after="0" w:before="0"/>
            </w:pPr>
            <w:r/>
            <w:r>
              <w:rPr>
                <w:rFonts w:ascii="Calibri" w:hAnsi="Calibri"/>
                <w:b/>
                <w:i w:val="0"/>
                <w:color w:val="142B4A"/>
                <w:sz w:val="16"/>
              </w:rPr>
              <w:t>US20050020664A1 (Zisapel et al.)</w:t>
            </w:r>
            <w:r>
              <w:rPr>
                <w:rFonts w:ascii="Calibri" w:hAnsi="Calibri"/>
                <w:b w:val="0"/>
                <w:i w:val="0"/>
                <w:color w:val="595959"/>
                <w:sz w:val="16"/>
              </w:rPr>
              <w:br/>
              <w:t>2005-01-27 · 102(a)(1)</w:t>
            </w:r>
          </w:p>
        </w:tc>
        <w:tc>
          <w:tcPr>
            <w:tcW w:type="dxa" w:w="1440"/>
            <w:shd w:val="clear" w:color="auto" w:fill="F4F6FA"/>
          </w:tcPr>
          <w:p>
            <w:pPr>
              <w:spacing w:after="0" w:before="0"/>
            </w:pPr>
            <w:r/>
            <w:r>
              <w:rPr>
                <w:rFonts w:ascii="Calibri" w:hAnsi="Calibri"/>
                <w:b/>
                <w:i w:val="0"/>
                <w:color w:val="142B4A"/>
                <w:sz w:val="16"/>
              </w:rPr>
              <w:t>PARTIAL</w:t>
            </w:r>
          </w:p>
        </w:tc>
        <w:tc>
          <w:tcPr>
            <w:tcW w:type="dxa" w:w="4320"/>
            <w:shd w:val="clear" w:color="auto" w:fill="F4F6FA"/>
          </w:tcPr>
          <w:p>
            <w:pPr>
              <w:spacing w:after="0" w:before="0"/>
            </w:pPr>
            <w:r/>
            <w:r>
              <w:rPr>
                <w:rFonts w:ascii="Calibri" w:hAnsi="Calibri"/>
                <w:b w:val="0"/>
                <w:i w:val="0"/>
                <w:sz w:val="16"/>
              </w:rPr>
              <w:t>“such as delayed sleep syndrome, sleep disorders associated with shift-work, and seasonal-related disorders e.g. seasonal affective disorder (SAD)”</w:t>
            </w:r>
            <w:r>
              <w:rPr>
                <w:rFonts w:ascii="Calibri" w:hAnsi="Calibri"/>
                <w:b w:val="0"/>
                <w:i w:val="0"/>
                <w:color w:val="595959"/>
                <w:sz w:val="16"/>
              </w:rPr>
              <w:t xml:space="preserve"> — Detailed Description</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c1.L1.a1</w:t>
            </w:r>
          </w:p>
        </w:tc>
        <w:tc>
          <w:tcPr>
            <w:tcW w:type="dxa" w:w="2016"/>
          </w:tcPr>
          <w:p>
            <w:pPr>
              <w:spacing w:after="0" w:before="0"/>
            </w:pPr>
            <w:r/>
            <w:r>
              <w:rPr>
                <w:rFonts w:ascii="Calibri" w:hAnsi="Calibri"/>
                <w:b/>
                <w:i w:val="0"/>
                <w:color w:val="142B4A"/>
                <w:sz w:val="16"/>
              </w:rPr>
              <w:t>US20050037449A1 (Doi et al.)</w:t>
            </w:r>
            <w:r>
              <w:rPr>
                <w:rFonts w:ascii="Calibri" w:hAnsi="Calibri"/>
                <w:b w:val="0"/>
                <w:i w:val="0"/>
                <w:color w:val="595959"/>
                <w:sz w:val="16"/>
              </w:rPr>
              <w:br/>
              <w:t>2005-02-17 · 102(a)(1)</w:t>
            </w:r>
          </w:p>
        </w:tc>
        <w:tc>
          <w:tcPr>
            <w:tcW w:type="dxa" w:w="1440"/>
          </w:tcPr>
          <w:p>
            <w:pPr>
              <w:spacing w:after="0" w:before="0"/>
            </w:pPr>
            <w:r/>
            <w:r>
              <w:rPr>
                <w:rFonts w:ascii="Calibri" w:hAnsi="Calibri"/>
                <w:b/>
                <w:i w:val="0"/>
                <w:color w:val="142B4A"/>
                <w:sz w:val="16"/>
              </w:rPr>
              <w:t>PARTIAL</w:t>
            </w:r>
          </w:p>
        </w:tc>
        <w:tc>
          <w:tcPr>
            <w:tcW w:type="dxa" w:w="4320"/>
          </w:tcPr>
          <w:p>
            <w:pPr>
              <w:spacing w:after="0" w:before="0"/>
            </w:pPr>
            <w:r/>
            <w:r>
              <w:rPr>
                <w:rFonts w:ascii="Calibri" w:hAnsi="Calibri"/>
                <w:b w:val="0"/>
                <w:i w:val="0"/>
                <w:sz w:val="16"/>
              </w:rPr>
              <w:t>“a method for controlling a circadian rhythm disorder”</w:t>
            </w:r>
            <w:r>
              <w:rPr>
                <w:rFonts w:ascii="Calibri" w:hAnsi="Calibri"/>
                <w:b w:val="0"/>
                <w:i w:val="0"/>
                <w:color w:val="595959"/>
                <w:sz w:val="16"/>
              </w:rPr>
              <w:t xml:space="preserve"> — Claim 3</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c1.L1.a1</w:t>
            </w:r>
          </w:p>
        </w:tc>
        <w:tc>
          <w:tcPr>
            <w:tcW w:type="dxa" w:w="2016"/>
            <w:shd w:val="clear" w:color="auto" w:fill="F4F6FA"/>
          </w:tcPr>
          <w:p>
            <w:pPr>
              <w:spacing w:after="0" w:before="0"/>
            </w:pPr>
            <w:r/>
            <w:r>
              <w:rPr>
                <w:rFonts w:ascii="Calibri" w:hAnsi="Calibri"/>
                <w:b/>
                <w:i w:val="0"/>
                <w:color w:val="142B4A"/>
                <w:sz w:val="16"/>
              </w:rPr>
              <w:t>US20050119283A1 (Matos et al.)</w:t>
            </w:r>
            <w:r>
              <w:rPr>
                <w:rFonts w:ascii="Calibri" w:hAnsi="Calibri"/>
                <w:b w:val="0"/>
                <w:i w:val="0"/>
                <w:color w:val="595959"/>
                <w:sz w:val="16"/>
              </w:rPr>
              <w:br/>
              <w:t>2005-06-02 · 102(a)(1)</w:t>
            </w:r>
          </w:p>
        </w:tc>
        <w:tc>
          <w:tcPr>
            <w:tcW w:type="dxa" w:w="1440"/>
            <w:shd w:val="clear" w:color="auto" w:fill="F4F6FA"/>
          </w:tcPr>
          <w:p>
            <w:pPr>
              <w:spacing w:after="0" w:before="0"/>
            </w:pPr>
            <w:r/>
            <w:r>
              <w:rPr>
                <w:rFonts w:ascii="Calibri" w:hAnsi="Calibri"/>
                <w:b/>
                <w:i w:val="0"/>
                <w:color w:val="142B4A"/>
                <w:sz w:val="16"/>
              </w:rPr>
              <w:t>PARTIAL</w:t>
            </w:r>
          </w:p>
        </w:tc>
        <w:tc>
          <w:tcPr>
            <w:tcW w:type="dxa" w:w="4320"/>
            <w:shd w:val="clear" w:color="auto" w:fill="F4F6FA"/>
          </w:tcPr>
          <w:p>
            <w:pPr>
              <w:spacing w:after="0" w:before="0"/>
            </w:pPr>
            <w:r/>
            <w:r>
              <w:rPr>
                <w:rFonts w:ascii="Calibri" w:hAnsi="Calibri"/>
                <w:b w:val="0"/>
                <w:i w:val="0"/>
                <w:sz w:val="16"/>
              </w:rPr>
              <w:t>“A method of treating circadian rhythm disorders in mammals including humans comprising administering to a mammal an amount of an NPY Y5 antagonist effective in treating circadian rhythm disorders.”</w:t>
            </w:r>
            <w:r>
              <w:rPr>
                <w:rFonts w:ascii="Calibri" w:hAnsi="Calibri"/>
                <w:b w:val="0"/>
                <w:i w:val="0"/>
                <w:color w:val="595959"/>
                <w:sz w:val="16"/>
              </w:rPr>
              <w:t xml:space="preserve"> — Claim 7</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c1.L1.a1</w:t>
            </w:r>
          </w:p>
        </w:tc>
        <w:tc>
          <w:tcPr>
            <w:tcW w:type="dxa" w:w="2016"/>
          </w:tcPr>
          <w:p>
            <w:pPr>
              <w:spacing w:after="0" w:before="0"/>
            </w:pPr>
            <w:r/>
            <w:r>
              <w:rPr>
                <w:rFonts w:ascii="Calibri" w:hAnsi="Calibri"/>
                <w:b/>
                <w:i w:val="0"/>
                <w:color w:val="142B4A"/>
                <w:sz w:val="16"/>
              </w:rPr>
              <w:t>US20100120887A1 (Terman et al.)</w:t>
            </w:r>
            <w:r>
              <w:rPr>
                <w:rFonts w:ascii="Calibri" w:hAnsi="Calibri"/>
                <w:b w:val="0"/>
                <w:i w:val="0"/>
                <w:color w:val="595959"/>
                <w:sz w:val="16"/>
              </w:rPr>
              <w:br/>
              <w:t>2010-05-13 · 102(a)(1)</w:t>
            </w:r>
          </w:p>
        </w:tc>
        <w:tc>
          <w:tcPr>
            <w:tcW w:type="dxa" w:w="1440"/>
          </w:tcPr>
          <w:p>
            <w:pPr>
              <w:spacing w:after="0" w:before="0"/>
            </w:pPr>
            <w:r/>
            <w:r>
              <w:rPr>
                <w:rFonts w:ascii="Calibri" w:hAnsi="Calibri"/>
                <w:b/>
                <w:i w:val="0"/>
                <w:color w:val="142B4A"/>
                <w:sz w:val="16"/>
              </w:rPr>
              <w:t>PARTIAL</w:t>
            </w:r>
          </w:p>
        </w:tc>
        <w:tc>
          <w:tcPr>
            <w:tcW w:type="dxa" w:w="4320"/>
          </w:tcPr>
          <w:p>
            <w:pPr>
              <w:spacing w:after="0" w:before="0"/>
            </w:pPr>
            <w:r/>
            <w:r>
              <w:rPr>
                <w:rFonts w:ascii="Calibri" w:hAnsi="Calibri"/>
                <w:b w:val="0"/>
                <w:i w:val="0"/>
                <w:sz w:val="16"/>
              </w:rPr>
              <w:t>“A method of treating a sleep disorder in a subject, comprising administering to a subject in need of such treatment a sustained release formulation of melatonin”</w:t>
            </w:r>
            <w:r>
              <w:rPr>
                <w:rFonts w:ascii="Calibri" w:hAnsi="Calibri"/>
                <w:b w:val="0"/>
                <w:i w:val="0"/>
                <w:color w:val="595959"/>
                <w:sz w:val="16"/>
              </w:rPr>
              <w:t xml:space="preserve"> — Claim 1</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c1.L1.a1</w:t>
            </w:r>
          </w:p>
        </w:tc>
        <w:tc>
          <w:tcPr>
            <w:tcW w:type="dxa" w:w="2016"/>
            <w:shd w:val="clear" w:color="auto" w:fill="F4F6FA"/>
          </w:tcPr>
          <w:p>
            <w:pPr>
              <w:spacing w:after="0" w:before="0"/>
            </w:pPr>
            <w:r/>
            <w:r>
              <w:rPr>
                <w:rFonts w:ascii="Calibri" w:hAnsi="Calibri"/>
                <w:b/>
                <w:i w:val="0"/>
                <w:color w:val="142B4A"/>
                <w:sz w:val="16"/>
              </w:rPr>
              <w:t>US8003669B2 (Teshima et al.)</w:t>
            </w:r>
            <w:r>
              <w:rPr>
                <w:rFonts w:ascii="Calibri" w:hAnsi="Calibri"/>
                <w:b w:val="0"/>
                <w:i w:val="0"/>
                <w:color w:val="595959"/>
                <w:sz w:val="16"/>
              </w:rPr>
              <w:br/>
              <w:t>2011-08-23 · 102(a)(1)</w:t>
            </w:r>
          </w:p>
        </w:tc>
        <w:tc>
          <w:tcPr>
            <w:tcW w:type="dxa" w:w="1440"/>
            <w:shd w:val="clear" w:color="auto" w:fill="F4F6FA"/>
          </w:tcPr>
          <w:p>
            <w:pPr>
              <w:spacing w:after="0" w:before="0"/>
            </w:pPr>
            <w:r/>
            <w:r>
              <w:rPr>
                <w:rFonts w:ascii="Calibri" w:hAnsi="Calibri"/>
                <w:b/>
                <w:i w:val="0"/>
                <w:color w:val="142B4A"/>
                <w:sz w:val="16"/>
              </w:rPr>
              <w:t>PARTIAL</w:t>
            </w:r>
          </w:p>
        </w:tc>
        <w:tc>
          <w:tcPr>
            <w:tcW w:type="dxa" w:w="4320"/>
            <w:shd w:val="clear" w:color="auto" w:fill="F4F6FA"/>
          </w:tcPr>
          <w:p>
            <w:pPr>
              <w:spacing w:after="0" w:before="0"/>
            </w:pPr>
            <w:r/>
            <w:r>
              <w:rPr>
                <w:rFonts w:ascii="Calibri" w:hAnsi="Calibri"/>
                <w:b w:val="0"/>
                <w:i w:val="0"/>
                <w:sz w:val="16"/>
              </w:rPr>
              <w:t>“A method of treating a circadian rhythm sleep disorder, comprising administering an effective amount of a compound represented by formula (I)”</w:t>
            </w:r>
            <w:r>
              <w:rPr>
                <w:rFonts w:ascii="Calibri" w:hAnsi="Calibri"/>
                <w:b w:val="0"/>
                <w:i w:val="0"/>
                <w:color w:val="595959"/>
                <w:sz w:val="16"/>
              </w:rPr>
              <w:t xml:space="preserve"> — Claim 1</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c1.L1.a2</w:t>
            </w:r>
          </w:p>
        </w:tc>
        <w:tc>
          <w:tcPr>
            <w:tcW w:type="dxa" w:w="2016"/>
          </w:tcPr>
          <w:p>
            <w:pPr>
              <w:spacing w:after="0" w:before="0"/>
            </w:pPr>
            <w:r/>
            <w:r>
              <w:rPr>
                <w:rFonts w:ascii="Calibri" w:hAnsi="Calibri"/>
                <w:b/>
                <w:i w:val="0"/>
                <w:color w:val="142B4A"/>
                <w:sz w:val="16"/>
              </w:rPr>
              <w:t>EP2308491B1 (Bradford et al.)</w:t>
            </w:r>
            <w:r>
              <w:rPr>
                <w:rFonts w:ascii="Calibri" w:hAnsi="Calibri"/>
                <w:b w:val="0"/>
                <w:i w:val="0"/>
                <w:color w:val="595959"/>
                <w:sz w:val="16"/>
              </w:rPr>
              <w:br/>
              <w:t>2011-09-07 · 102(a)(1)</w:t>
            </w:r>
          </w:p>
        </w:tc>
        <w:tc>
          <w:tcPr>
            <w:tcW w:type="dxa" w:w="1440"/>
          </w:tcPr>
          <w:p>
            <w:pPr>
              <w:spacing w:after="0" w:before="0"/>
            </w:pPr>
            <w:r/>
            <w:r>
              <w:rPr>
                <w:rFonts w:ascii="Calibri" w:hAnsi="Calibri"/>
                <w:b/>
                <w:i w:val="0"/>
                <w:color w:val="2E7D32"/>
                <w:sz w:val="16"/>
              </w:rPr>
              <w:t>EXPLICIT · stated outright</w:t>
            </w:r>
          </w:p>
        </w:tc>
        <w:tc>
          <w:tcPr>
            <w:tcW w:type="dxa" w:w="4320"/>
          </w:tcPr>
          <w:p>
            <w:pPr>
              <w:spacing w:after="0" w:before="0"/>
            </w:pPr>
            <w:r/>
            <w:r>
              <w:rPr>
                <w:rFonts w:ascii="Calibri" w:hAnsi="Calibri"/>
                <w:b w:val="0"/>
                <w:i w:val="0"/>
                <w:sz w:val="16"/>
              </w:rPr>
              <w:t>“wherein the strong inducer is cigarette smoke, smoking or rifampicin”</w:t>
            </w:r>
            <w:r>
              <w:rPr>
                <w:rFonts w:ascii="Calibri" w:hAnsi="Calibri"/>
                <w:b w:val="0"/>
                <w:i w:val="0"/>
                <w:color w:val="595959"/>
                <w:sz w:val="16"/>
              </w:rPr>
              <w:t xml:space="preserve"> — Claims</w:t>
            </w:r>
          </w:p>
        </w:tc>
        <w:tc>
          <w:tcPr>
            <w:tcW w:type="dxa" w:w="1728"/>
          </w:tcPr>
          <w:p>
            <w:pPr>
              <w:spacing w:after="0" w:before="0"/>
            </w:pPr>
            <w:r/>
            <w:r>
              <w:rPr>
                <w:rFonts w:ascii="Calibri" w:hAnsi="Calibri"/>
                <w:b w:val="0"/>
                <w:i w:val="0"/>
                <w:sz w:val="16"/>
              </w:rPr>
              <w:t>in the combination</w:t>
            </w:r>
          </w:p>
        </w:tc>
      </w:tr>
      <w:tr>
        <w:tc>
          <w:tcPr>
            <w:tcW w:type="dxa" w:w="720"/>
            <w:shd w:val="clear" w:color="auto" w:fill="F4F6FA"/>
          </w:tcPr>
          <w:p>
            <w:pPr>
              <w:spacing w:after="0" w:before="0"/>
            </w:pPr>
            <w:r/>
            <w:r>
              <w:rPr>
                <w:rFonts w:ascii="Calibri" w:hAnsi="Calibri"/>
                <w:b w:val="0"/>
                <w:i w:val="0"/>
                <w:sz w:val="16"/>
              </w:rPr>
              <w:t>c1.L1.a2</w:t>
            </w:r>
          </w:p>
        </w:tc>
        <w:tc>
          <w:tcPr>
            <w:tcW w:type="dxa" w:w="2016"/>
            <w:shd w:val="clear" w:color="auto" w:fill="F4F6FA"/>
          </w:tcPr>
          <w:p>
            <w:pPr>
              <w:spacing w:after="0" w:before="0"/>
            </w:pPr>
            <w:r/>
            <w:r>
              <w:rPr>
                <w:rFonts w:ascii="Calibri" w:hAnsi="Calibri"/>
                <w:b/>
                <w:i w:val="0"/>
                <w:color w:val="142B4A"/>
                <w:sz w:val="16"/>
              </w:rPr>
              <w:t>US20080124407A1 (Eaton et al.)</w:t>
            </w:r>
            <w:r>
              <w:rPr>
                <w:rFonts w:ascii="Calibri" w:hAnsi="Calibri"/>
                <w:b w:val="0"/>
                <w:i w:val="0"/>
                <w:color w:val="595959"/>
                <w:sz w:val="16"/>
              </w:rPr>
              <w:br/>
              <w:t>2008-05-29 · 102(a)(1)</w:t>
            </w:r>
          </w:p>
        </w:tc>
        <w:tc>
          <w:tcPr>
            <w:tcW w:type="dxa" w:w="1440"/>
            <w:shd w:val="clear" w:color="auto" w:fill="F4F6FA"/>
          </w:tcPr>
          <w:p>
            <w:pPr>
              <w:spacing w:after="0" w:before="0"/>
            </w:pPr>
            <w:r/>
            <w:r>
              <w:rPr>
                <w:rFonts w:ascii="Calibri" w:hAnsi="Calibri"/>
                <w:b/>
                <w:i w:val="0"/>
                <w:color w:val="2E7D32"/>
                <w:sz w:val="16"/>
              </w:rPr>
              <w:t>EXPLICIT</w:t>
            </w:r>
          </w:p>
        </w:tc>
        <w:tc>
          <w:tcPr>
            <w:tcW w:type="dxa" w:w="4320"/>
            <w:shd w:val="clear" w:color="auto" w:fill="F4F6FA"/>
          </w:tcPr>
          <w:p>
            <w:pPr>
              <w:spacing w:after="0" w:before="0"/>
            </w:pPr>
            <w:r/>
            <w:r>
              <w:rPr>
                <w:rFonts w:ascii="Calibri" w:hAnsi="Calibri"/>
                <w:b w:val="0"/>
                <w:i w:val="0"/>
                <w:sz w:val="16"/>
              </w:rPr>
              <w:t>“Useful antibiotics include rifampicin, rifabutin, flucloxacillin, nafcillin, or artemisinin.”</w:t>
            </w:r>
            <w:r>
              <w:rPr>
                <w:rFonts w:ascii="Calibri" w:hAnsi="Calibri"/>
                <w:b w:val="0"/>
                <w:i w:val="0"/>
                <w:color w:val="595959"/>
                <w:sz w:val="16"/>
              </w:rPr>
              <w:t xml:space="preserve"> — Detailed Description</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c1.L1.a2</w:t>
            </w:r>
          </w:p>
        </w:tc>
        <w:tc>
          <w:tcPr>
            <w:tcW w:type="dxa" w:w="2016"/>
          </w:tcPr>
          <w:p>
            <w:pPr>
              <w:spacing w:after="0" w:before="0"/>
            </w:pPr>
            <w:r/>
            <w:r>
              <w:rPr>
                <w:rFonts w:ascii="Calibri" w:hAnsi="Calibri"/>
                <w:b/>
                <w:i w:val="0"/>
                <w:color w:val="142B4A"/>
                <w:sz w:val="16"/>
              </w:rPr>
              <w:t>US4613496A (Kopf et al.)</w:t>
            </w:r>
            <w:r>
              <w:rPr>
                <w:rFonts w:ascii="Calibri" w:hAnsi="Calibri"/>
                <w:b w:val="0"/>
                <w:i w:val="0"/>
                <w:color w:val="595959"/>
                <w:sz w:val="16"/>
              </w:rPr>
              <w:br/>
              <w:t>1986-09-23 · 102(a)(1)</w:t>
            </w:r>
          </w:p>
        </w:tc>
        <w:tc>
          <w:tcPr>
            <w:tcW w:type="dxa" w:w="1440"/>
          </w:tcPr>
          <w:p>
            <w:pPr>
              <w:spacing w:after="0" w:before="0"/>
            </w:pPr>
            <w:r/>
            <w:r>
              <w:rPr>
                <w:rFonts w:ascii="Calibri" w:hAnsi="Calibri"/>
                <w:b/>
                <w:i w:val="0"/>
                <w:color w:val="142B4A"/>
                <w:sz w:val="16"/>
              </w:rPr>
              <w:t>PARTIAL</w:t>
            </w:r>
          </w:p>
        </w:tc>
        <w:tc>
          <w:tcPr>
            <w:tcW w:type="dxa" w:w="4320"/>
          </w:tcPr>
          <w:p>
            <w:pPr>
              <w:spacing w:after="0" w:before="0"/>
            </w:pPr>
            <w:r/>
            <w:r>
              <w:rPr>
                <w:rFonts w:ascii="Calibri" w:hAnsi="Calibri"/>
                <w:b w:val="0"/>
                <w:i w:val="0"/>
                <w:sz w:val="16"/>
              </w:rPr>
              <w:t>“A method of antibiotic treatment of a mammal comprising administering an antibiotically effective amount of a composition of claim 1 to said mammal.”</w:t>
            </w:r>
            <w:r>
              <w:rPr>
                <w:rFonts w:ascii="Calibri" w:hAnsi="Calibri"/>
                <w:b w:val="0"/>
                <w:i w:val="0"/>
                <w:color w:val="595959"/>
                <w:sz w:val="16"/>
              </w:rPr>
              <w:t xml:space="preserve"> — Claim 4</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c1.L1.a2</w:t>
            </w:r>
          </w:p>
        </w:tc>
        <w:tc>
          <w:tcPr>
            <w:tcW w:type="dxa" w:w="2016"/>
            <w:shd w:val="clear" w:color="auto" w:fill="F4F6FA"/>
          </w:tcPr>
          <w:p>
            <w:pPr>
              <w:spacing w:after="0" w:before="0"/>
            </w:pPr>
            <w:r/>
            <w:r>
              <w:rPr>
                <w:rFonts w:ascii="Calibri" w:hAnsi="Calibri"/>
                <w:b/>
                <w:i w:val="0"/>
                <w:color w:val="142B4A"/>
                <w:sz w:val="16"/>
              </w:rPr>
              <w:t>WO2002005850A2 (Meyer)</w:t>
            </w:r>
            <w:r>
              <w:rPr>
                <w:rFonts w:ascii="Calibri" w:hAnsi="Calibri"/>
                <w:b w:val="0"/>
                <w:i w:val="0"/>
                <w:color w:val="595959"/>
                <w:sz w:val="16"/>
              </w:rPr>
              <w:br/>
              <w:t>2002-01-24 · 102(a)(1)</w:t>
            </w:r>
          </w:p>
        </w:tc>
        <w:tc>
          <w:tcPr>
            <w:tcW w:type="dxa" w:w="1440"/>
            <w:shd w:val="clear" w:color="auto" w:fill="F4F6FA"/>
          </w:tcPr>
          <w:p>
            <w:pPr>
              <w:spacing w:after="0" w:before="0"/>
            </w:pPr>
            <w:r/>
            <w:r>
              <w:rPr>
                <w:rFonts w:ascii="Calibri" w:hAnsi="Calibri"/>
                <w:b/>
                <w:i w:val="0"/>
                <w:color w:val="142B4A"/>
                <w:sz w:val="16"/>
              </w:rPr>
              <w:t>PARTIAL</w:t>
            </w:r>
          </w:p>
        </w:tc>
        <w:tc>
          <w:tcPr>
            <w:tcW w:type="dxa" w:w="4320"/>
            <w:shd w:val="clear" w:color="auto" w:fill="F4F6FA"/>
          </w:tcPr>
          <w:p>
            <w:pPr>
              <w:spacing w:after="0" w:before="0"/>
            </w:pPr>
            <w:r/>
            <w:r>
              <w:rPr>
                <w:rFonts w:ascii="Calibri" w:hAnsi="Calibri"/>
                <w:b w:val="0"/>
                <w:i w:val="0"/>
                <w:sz w:val="16"/>
              </w:rPr>
              <w:t>“Rifampicin: Commercially available Rifampin tablets (600mg) were taken daily for four consecutive days”</w:t>
            </w:r>
            <w:r>
              <w:rPr>
                <w:rFonts w:ascii="Calibri" w:hAnsi="Calibri"/>
                <w:b w:val="0"/>
                <w:i w:val="0"/>
                <w:color w:val="595959"/>
                <w:sz w:val="16"/>
              </w:rPr>
              <w:t xml:space="preserve"> — Example 6</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c1.L1.a2</w:t>
            </w:r>
          </w:p>
        </w:tc>
        <w:tc>
          <w:tcPr>
            <w:tcW w:type="dxa" w:w="2016"/>
          </w:tcPr>
          <w:p>
            <w:pPr>
              <w:spacing w:after="0" w:before="0"/>
            </w:pPr>
            <w:r/>
            <w:r>
              <w:rPr>
                <w:rFonts w:ascii="Calibri" w:hAnsi="Calibri"/>
                <w:b/>
                <w:i w:val="0"/>
                <w:color w:val="142B4A"/>
                <w:sz w:val="16"/>
              </w:rPr>
              <w:t>US7001619B2 (Johri et al.)</w:t>
            </w:r>
            <w:r>
              <w:rPr>
                <w:rFonts w:ascii="Calibri" w:hAnsi="Calibri"/>
                <w:b w:val="0"/>
                <w:i w:val="0"/>
                <w:color w:val="595959"/>
                <w:sz w:val="16"/>
              </w:rPr>
              <w:br/>
              <w:t>2006-02-21 · 102(a)(1)</w:t>
            </w:r>
          </w:p>
        </w:tc>
        <w:tc>
          <w:tcPr>
            <w:tcW w:type="dxa" w:w="1440"/>
          </w:tcPr>
          <w:p>
            <w:pPr>
              <w:spacing w:after="0" w:before="0"/>
            </w:pPr>
            <w:r/>
            <w:r>
              <w:rPr>
                <w:rFonts w:ascii="Calibri" w:hAnsi="Calibri"/>
                <w:b/>
                <w:i w:val="0"/>
                <w:color w:val="142B4A"/>
                <w:sz w:val="16"/>
              </w:rPr>
              <w:t>PARTIAL</w:t>
            </w:r>
          </w:p>
        </w:tc>
        <w:tc>
          <w:tcPr>
            <w:tcW w:type="dxa" w:w="4320"/>
          </w:tcPr>
          <w:p>
            <w:pPr>
              <w:spacing w:after="0" w:before="0"/>
            </w:pPr>
            <w:r/>
            <w:r>
              <w:rPr>
                <w:rFonts w:ascii="Calibri" w:hAnsi="Calibri"/>
                <w:b w:val="0"/>
                <w:i w:val="0"/>
                <w:sz w:val="16"/>
              </w:rPr>
              <w:t>“A method of treating CYP 450 and free radical mediated hepatotoxicity caused by at least one anti-TB drug selected from the group consisting of rifampicin, pyrazinamide, and isoniazid”</w:t>
            </w:r>
            <w:r>
              <w:rPr>
                <w:rFonts w:ascii="Calibri" w:hAnsi="Calibri"/>
                <w:b w:val="0"/>
                <w:i w:val="0"/>
                <w:color w:val="595959"/>
                <w:sz w:val="16"/>
              </w:rPr>
              <w:t xml:space="preserve"> — Claim 1</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c1.L1.a2</w:t>
            </w:r>
          </w:p>
        </w:tc>
        <w:tc>
          <w:tcPr>
            <w:tcW w:type="dxa" w:w="2016"/>
            <w:shd w:val="clear" w:color="auto" w:fill="F4F6FA"/>
          </w:tcPr>
          <w:p>
            <w:pPr>
              <w:spacing w:after="0" w:before="0"/>
            </w:pPr>
            <w:r/>
            <w:r>
              <w:rPr>
                <w:rFonts w:ascii="Calibri" w:hAnsi="Calibri"/>
                <w:b/>
                <w:i w:val="0"/>
                <w:color w:val="142B4A"/>
                <w:sz w:val="16"/>
              </w:rPr>
              <w:t>US20060057234A1 (Khanuja et al.)</w:t>
            </w:r>
            <w:r>
              <w:rPr>
                <w:rFonts w:ascii="Calibri" w:hAnsi="Calibri"/>
                <w:b w:val="0"/>
                <w:i w:val="0"/>
                <w:color w:val="595959"/>
                <w:sz w:val="16"/>
              </w:rPr>
              <w:br/>
              <w:t>2006-03-16 · 102(a)(1)</w:t>
            </w:r>
          </w:p>
        </w:tc>
        <w:tc>
          <w:tcPr>
            <w:tcW w:type="dxa" w:w="1440"/>
            <w:shd w:val="clear" w:color="auto" w:fill="F4F6FA"/>
          </w:tcPr>
          <w:p>
            <w:pPr>
              <w:spacing w:after="0" w:before="0"/>
            </w:pPr>
            <w:r/>
            <w:r>
              <w:rPr>
                <w:rFonts w:ascii="Calibri" w:hAnsi="Calibri"/>
                <w:b/>
                <w:i w:val="0"/>
                <w:color w:val="142B4A"/>
                <w:sz w:val="16"/>
              </w:rPr>
              <w:t>PARTIAL</w:t>
            </w:r>
          </w:p>
        </w:tc>
        <w:tc>
          <w:tcPr>
            <w:tcW w:type="dxa" w:w="4320"/>
            <w:shd w:val="clear" w:color="auto" w:fill="F4F6FA"/>
          </w:tcPr>
          <w:p>
            <w:pPr>
              <w:spacing w:after="0" w:before="0"/>
            </w:pPr>
            <w:r/>
            <w:r>
              <w:rPr>
                <w:rFonts w:ascii="Calibri" w:hAnsi="Calibri"/>
                <w:b w:val="0"/>
                <w:i w:val="0"/>
                <w:sz w:val="16"/>
              </w:rPr>
              <w:t>“Rifampicin100.420.113.8”</w:t>
            </w:r>
            <w:r>
              <w:rPr>
                <w:rFonts w:ascii="Calibri" w:hAnsi="Calibri"/>
                <w:b w:val="0"/>
                <w:i w:val="0"/>
                <w:color w:val="595959"/>
                <w:sz w:val="16"/>
              </w:rPr>
              <w:t xml:space="preserve"> — Example 1/Table 1</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c1.L2.a1</w:t>
            </w:r>
          </w:p>
        </w:tc>
        <w:tc>
          <w:tcPr>
            <w:tcW w:type="dxa" w:w="2016"/>
          </w:tcPr>
          <w:p>
            <w:pPr>
              <w:spacing w:after="0" w:before="0"/>
            </w:pPr>
            <w:r/>
            <w:r>
              <w:rPr>
                <w:rFonts w:ascii="Calibri" w:hAnsi="Calibri"/>
                <w:b/>
                <w:i w:val="0"/>
                <w:color w:val="142B4A"/>
                <w:sz w:val="16"/>
              </w:rPr>
              <w:t>US20100056622A1 (Lauterbach)</w:t>
            </w:r>
            <w:r>
              <w:rPr>
                <w:rFonts w:ascii="Calibri" w:hAnsi="Calibri"/>
                <w:b w:val="0"/>
                <w:i w:val="0"/>
                <w:color w:val="595959"/>
                <w:sz w:val="16"/>
              </w:rPr>
              <w:br/>
              <w:t>2010-03-04 · 102(a)(1)</w:t>
            </w:r>
          </w:p>
        </w:tc>
        <w:tc>
          <w:tcPr>
            <w:tcW w:type="dxa" w:w="1440"/>
          </w:tcPr>
          <w:p>
            <w:pPr>
              <w:spacing w:after="0" w:before="0"/>
            </w:pPr>
            <w:r/>
            <w:r>
              <w:rPr>
                <w:rFonts w:ascii="Calibri" w:hAnsi="Calibri"/>
                <w:b/>
                <w:i w:val="0"/>
                <w:color w:val="142B4A"/>
                <w:sz w:val="16"/>
              </w:rPr>
              <w:t>PARTIAL</w:t>
            </w:r>
          </w:p>
        </w:tc>
        <w:tc>
          <w:tcPr>
            <w:tcW w:type="dxa" w:w="4320"/>
          </w:tcPr>
          <w:p>
            <w:pPr>
              <w:spacing w:after="0" w:before="0"/>
            </w:pPr>
            <w:r/>
            <w:r>
              <w:rPr>
                <w:rFonts w:ascii="Calibri" w:hAnsi="Calibri"/>
                <w:b w:val="0"/>
                <w:i w:val="0"/>
                <w:sz w:val="16"/>
              </w:rPr>
              <w:t>“inducers of 2C9 such as rifampin, and secobarbital”</w:t>
            </w:r>
            <w:r>
              <w:rPr>
                <w:rFonts w:ascii="Calibri" w:hAnsi="Calibri"/>
                <w:b w:val="0"/>
                <w:i w:val="0"/>
                <w:color w:val="595959"/>
                <w:sz w:val="16"/>
              </w:rPr>
              <w:t xml:space="preserve"> — Detailed Description, drug interaction list</w:t>
            </w:r>
          </w:p>
        </w:tc>
        <w:tc>
          <w:tcPr>
            <w:tcW w:type="dxa" w:w="1728"/>
          </w:tcPr>
          <w:p>
            <w:pPr>
              <w:spacing w:after="0" w:before="0"/>
            </w:pPr>
            <w:r/>
            <w:r>
              <w:rPr>
                <w:rFonts w:ascii="Calibri" w:hAnsi="Calibri"/>
                <w:b w:val="0"/>
                <w:i w:val="0"/>
                <w:sz w:val="16"/>
              </w:rPr>
              <w:t>in the combination</w:t>
            </w:r>
          </w:p>
        </w:tc>
      </w:tr>
      <w:tr>
        <w:tc>
          <w:tcPr>
            <w:tcW w:type="dxa" w:w="720"/>
            <w:shd w:val="clear" w:color="auto" w:fill="F4F6FA"/>
          </w:tcPr>
          <w:p>
            <w:pPr>
              <w:spacing w:after="0" w:before="0"/>
            </w:pPr>
            <w:r/>
            <w:r>
              <w:rPr>
                <w:rFonts w:ascii="Calibri" w:hAnsi="Calibri"/>
                <w:b w:val="0"/>
                <w:i w:val="0"/>
                <w:sz w:val="16"/>
              </w:rPr>
              <w:t>c2.L1.a1</w:t>
            </w:r>
          </w:p>
        </w:tc>
        <w:tc>
          <w:tcPr>
            <w:tcW w:type="dxa" w:w="2016"/>
            <w:shd w:val="clear" w:color="auto" w:fill="F4F6FA"/>
          </w:tcPr>
          <w:p>
            <w:pPr>
              <w:spacing w:after="0" w:before="0"/>
            </w:pPr>
            <w:r/>
            <w:r>
              <w:rPr>
                <w:rFonts w:ascii="Calibri" w:hAnsi="Calibri"/>
                <w:b/>
                <w:i w:val="0"/>
                <w:color w:val="142B4A"/>
                <w:sz w:val="16"/>
              </w:rPr>
              <w:t>US20050119283A1 (Matos et al.)</w:t>
            </w:r>
            <w:r>
              <w:rPr>
                <w:rFonts w:ascii="Calibri" w:hAnsi="Calibri"/>
                <w:b w:val="0"/>
                <w:i w:val="0"/>
                <w:color w:val="595959"/>
                <w:sz w:val="16"/>
              </w:rPr>
              <w:br/>
              <w:t>2005-06-02 · 102(a)(1)</w:t>
            </w:r>
          </w:p>
        </w:tc>
        <w:tc>
          <w:tcPr>
            <w:tcW w:type="dxa" w:w="1440"/>
            <w:shd w:val="clear" w:color="auto" w:fill="F4F6FA"/>
          </w:tcPr>
          <w:p>
            <w:pPr>
              <w:spacing w:after="0" w:before="0"/>
            </w:pPr>
            <w:r/>
            <w:r>
              <w:rPr>
                <w:rFonts w:ascii="Calibri" w:hAnsi="Calibri"/>
                <w:b/>
                <w:i w:val="0"/>
                <w:color w:val="2E7D32"/>
                <w:sz w:val="16"/>
              </w:rPr>
              <w:t>EXPLICIT</w:t>
            </w:r>
          </w:p>
        </w:tc>
        <w:tc>
          <w:tcPr>
            <w:tcW w:type="dxa" w:w="4320"/>
            <w:shd w:val="clear" w:color="auto" w:fill="F4F6FA"/>
          </w:tcPr>
          <w:p>
            <w:pPr>
              <w:spacing w:after="0" w:before="0"/>
            </w:pPr>
            <w:r/>
            <w:r>
              <w:rPr>
                <w:rFonts w:ascii="Calibri" w:hAnsi="Calibri"/>
                <w:b w:val="0"/>
                <w:i w:val="0"/>
                <w:sz w:val="16"/>
              </w:rPr>
              <w:t>“non-24-hour sleep-wake disorder”</w:t>
            </w:r>
            <w:r>
              <w:rPr>
                <w:rFonts w:ascii="Calibri" w:hAnsi="Calibri"/>
                <w:b w:val="0"/>
                <w:i w:val="0"/>
                <w:color w:val="595959"/>
                <w:sz w:val="16"/>
              </w:rPr>
              <w:t xml:space="preserve"> — Background/Summary list of disorders</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c2.L1.a1</w:t>
            </w:r>
          </w:p>
        </w:tc>
        <w:tc>
          <w:tcPr>
            <w:tcW w:type="dxa" w:w="2016"/>
          </w:tcPr>
          <w:p>
            <w:pPr>
              <w:spacing w:after="0" w:before="0"/>
            </w:pPr>
            <w:r/>
            <w:r>
              <w:rPr>
                <w:rFonts w:ascii="Calibri" w:hAnsi="Calibri"/>
                <w:b/>
                <w:i w:val="0"/>
                <w:color w:val="142B4A"/>
                <w:sz w:val="16"/>
              </w:rPr>
              <w:t>US20060094705A1 (Edgar et al.)</w:t>
            </w:r>
            <w:r>
              <w:rPr>
                <w:rFonts w:ascii="Calibri" w:hAnsi="Calibri"/>
                <w:b w:val="0"/>
                <w:i w:val="0"/>
                <w:color w:val="595959"/>
                <w:sz w:val="16"/>
              </w:rPr>
              <w:br/>
              <w:t>2006-05-04 · 102(a)(1)</w:t>
            </w:r>
          </w:p>
        </w:tc>
        <w:tc>
          <w:tcPr>
            <w:tcW w:type="dxa" w:w="1440"/>
          </w:tcPr>
          <w:p>
            <w:pPr>
              <w:spacing w:after="0" w:before="0"/>
            </w:pPr>
            <w:r/>
            <w:r>
              <w:rPr>
                <w:rFonts w:ascii="Calibri" w:hAnsi="Calibri"/>
                <w:b/>
                <w:i w:val="0"/>
                <w:color w:val="2E7D32"/>
                <w:sz w:val="16"/>
              </w:rPr>
              <w:t>EXPLICIT</w:t>
            </w:r>
          </w:p>
        </w:tc>
        <w:tc>
          <w:tcPr>
            <w:tcW w:type="dxa" w:w="4320"/>
          </w:tcPr>
          <w:p>
            <w:pPr>
              <w:spacing w:after="0" w:before="0"/>
            </w:pPr>
            <w:r/>
            <w:r>
              <w:rPr>
                <w:rFonts w:ascii="Calibri" w:hAnsi="Calibri"/>
                <w:b w:val="0"/>
                <w:i w:val="0"/>
                <w:sz w:val="16"/>
              </w:rPr>
              <w:t>“jet lag, shift-work disorders, delayed sleep phase syndrome, advanced sleep phase syndrome and non-24 hour sleep-wake disorder.”</w:t>
            </w:r>
            <w:r>
              <w:rPr>
                <w:rFonts w:ascii="Calibri" w:hAnsi="Calibri"/>
                <w:b w:val="0"/>
                <w:i w:val="0"/>
                <w:color w:val="595959"/>
                <w:sz w:val="16"/>
              </w:rPr>
              <w:t xml:space="preserve"> — Summary of the Invention</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c2.L1.a1</w:t>
            </w:r>
          </w:p>
        </w:tc>
        <w:tc>
          <w:tcPr>
            <w:tcW w:type="dxa" w:w="2016"/>
            <w:shd w:val="clear" w:color="auto" w:fill="F4F6FA"/>
          </w:tcPr>
          <w:p>
            <w:pPr>
              <w:spacing w:after="0" w:before="0"/>
            </w:pPr>
            <w:r/>
            <w:r>
              <w:rPr>
                <w:rFonts w:ascii="Calibri" w:hAnsi="Calibri"/>
                <w:b/>
                <w:i w:val="0"/>
                <w:color w:val="142B4A"/>
                <w:sz w:val="16"/>
              </w:rPr>
              <w:t>US7326721B2 (Edgar et al.)</w:t>
            </w:r>
            <w:r>
              <w:rPr>
                <w:rFonts w:ascii="Calibri" w:hAnsi="Calibri"/>
                <w:b w:val="0"/>
                <w:i w:val="0"/>
                <w:color w:val="595959"/>
                <w:sz w:val="16"/>
              </w:rPr>
              <w:br/>
              <w:t>2008-02-05 · 102(a)(1)</w:t>
            </w:r>
          </w:p>
        </w:tc>
        <w:tc>
          <w:tcPr>
            <w:tcW w:type="dxa" w:w="1440"/>
            <w:shd w:val="clear" w:color="auto" w:fill="F4F6FA"/>
          </w:tcPr>
          <w:p>
            <w:pPr>
              <w:spacing w:after="0" w:before="0"/>
            </w:pPr>
            <w:r/>
            <w:r>
              <w:rPr>
                <w:rFonts w:ascii="Calibri" w:hAnsi="Calibri"/>
                <w:b/>
                <w:i w:val="0"/>
                <w:color w:val="2E7D32"/>
                <w:sz w:val="16"/>
              </w:rPr>
              <w:t>EXPLICIT</w:t>
            </w:r>
          </w:p>
        </w:tc>
        <w:tc>
          <w:tcPr>
            <w:tcW w:type="dxa" w:w="4320"/>
            <w:shd w:val="clear" w:color="auto" w:fill="F4F6FA"/>
          </w:tcPr>
          <w:p>
            <w:pPr>
              <w:spacing w:after="0" w:before="0"/>
            </w:pPr>
            <w:r/>
            <w:r>
              <w:rPr>
                <w:rFonts w:ascii="Calibri" w:hAnsi="Calibri"/>
                <w:b w:val="0"/>
                <w:i w:val="0"/>
                <w:sz w:val="16"/>
              </w:rPr>
              <w:t>“non-24 hour sleep-wake disorder”</w:t>
            </w:r>
            <w:r>
              <w:rPr>
                <w:rFonts w:ascii="Calibri" w:hAnsi="Calibri"/>
                <w:b w:val="0"/>
                <w:i w:val="0"/>
                <w:color w:val="595959"/>
                <w:sz w:val="16"/>
              </w:rPr>
              <w:t xml:space="preserve"> — Definitions / Circadian rhythm sleep disorders list</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c2.L1.a1</w:t>
            </w:r>
          </w:p>
        </w:tc>
        <w:tc>
          <w:tcPr>
            <w:tcW w:type="dxa" w:w="2016"/>
          </w:tcPr>
          <w:p>
            <w:pPr>
              <w:spacing w:after="0" w:before="0"/>
            </w:pPr>
            <w:r/>
            <w:r>
              <w:rPr>
                <w:rFonts w:ascii="Calibri" w:hAnsi="Calibri"/>
                <w:b/>
                <w:i w:val="0"/>
                <w:color w:val="142B4A"/>
                <w:sz w:val="16"/>
              </w:rPr>
              <w:t>US20110038850A1 (Bagnol et al.)</w:t>
            </w:r>
            <w:r>
              <w:rPr>
                <w:rFonts w:ascii="Calibri" w:hAnsi="Calibri"/>
                <w:b w:val="0"/>
                <w:i w:val="0"/>
                <w:color w:val="595959"/>
                <w:sz w:val="16"/>
              </w:rPr>
              <w:br/>
              <w:t>2011-02-17 · 102(a)(1)</w:t>
            </w:r>
          </w:p>
        </w:tc>
        <w:tc>
          <w:tcPr>
            <w:tcW w:type="dxa" w:w="1440"/>
          </w:tcPr>
          <w:p>
            <w:pPr>
              <w:spacing w:after="0" w:before="0"/>
            </w:pPr>
            <w:r/>
            <w:r>
              <w:rPr>
                <w:rFonts w:ascii="Calibri" w:hAnsi="Calibri"/>
                <w:b/>
                <w:i w:val="0"/>
                <w:color w:val="2E7D32"/>
                <w:sz w:val="16"/>
              </w:rPr>
              <w:t>EXPLICIT</w:t>
            </w:r>
          </w:p>
        </w:tc>
        <w:tc>
          <w:tcPr>
            <w:tcW w:type="dxa" w:w="4320"/>
          </w:tcPr>
          <w:p>
            <w:pPr>
              <w:spacing w:after="0" w:before="0"/>
            </w:pPr>
            <w:r/>
            <w:r>
              <w:rPr>
                <w:rFonts w:ascii="Calibri" w:hAnsi="Calibri"/>
                <w:b w:val="0"/>
                <w:i w:val="0"/>
                <w:sz w:val="16"/>
              </w:rPr>
              <w:t>“the sleep disorder is selected from the group consisting of psychophysiological insomnia, sleep state misperception, idiopathic insomnia, obstructive sleep apnea syndrome, central alveolar hypoventilation syndrome, periodic limb movement disorder, restless…”</w:t>
            </w:r>
            <w:r>
              <w:rPr>
                <w:rFonts w:ascii="Calibri" w:hAnsi="Calibri"/>
                <w:b w:val="0"/>
                <w:i w:val="0"/>
                <w:color w:val="595959"/>
                <w:sz w:val="16"/>
              </w:rPr>
              <w:t xml:space="preserve"> — Claim 25 / Detailed Description sleep disorder list</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c2.L1.a1</w:t>
            </w:r>
          </w:p>
        </w:tc>
        <w:tc>
          <w:tcPr>
            <w:tcW w:type="dxa" w:w="2016"/>
            <w:shd w:val="clear" w:color="auto" w:fill="F4F6FA"/>
          </w:tcPr>
          <w:p>
            <w:pPr>
              <w:spacing w:after="0" w:before="0"/>
            </w:pPr>
            <w:r/>
            <w:r>
              <w:rPr>
                <w:rFonts w:ascii="Calibri" w:hAnsi="Calibri"/>
                <w:b/>
                <w:i w:val="0"/>
                <w:color w:val="142B4A"/>
                <w:sz w:val="16"/>
              </w:rPr>
              <w:t>US8101596B2 (Edgar et al.)</w:t>
            </w:r>
            <w:r>
              <w:rPr>
                <w:rFonts w:ascii="Calibri" w:hAnsi="Calibri"/>
                <w:b w:val="0"/>
                <w:i w:val="0"/>
                <w:color w:val="595959"/>
                <w:sz w:val="16"/>
              </w:rPr>
              <w:br/>
              <w:t>2012-01-24 · 102(a)(1)</w:t>
            </w:r>
          </w:p>
        </w:tc>
        <w:tc>
          <w:tcPr>
            <w:tcW w:type="dxa" w:w="1440"/>
            <w:shd w:val="clear" w:color="auto" w:fill="F4F6FA"/>
          </w:tcPr>
          <w:p>
            <w:pPr>
              <w:spacing w:after="0" w:before="0"/>
            </w:pPr>
            <w:r/>
            <w:r>
              <w:rPr>
                <w:rFonts w:ascii="Calibri" w:hAnsi="Calibri"/>
                <w:b/>
                <w:i w:val="0"/>
                <w:color w:val="2E7D32"/>
                <w:sz w:val="16"/>
              </w:rPr>
              <w:t>EXPLICIT · stated outright</w:t>
            </w:r>
          </w:p>
        </w:tc>
        <w:tc>
          <w:tcPr>
            <w:tcW w:type="dxa" w:w="4320"/>
            <w:shd w:val="clear" w:color="auto" w:fill="F4F6FA"/>
          </w:tcPr>
          <w:p>
            <w:pPr>
              <w:spacing w:after="0" w:before="0"/>
            </w:pPr>
            <w:r/>
            <w:r>
              <w:rPr>
                <w:rFonts w:ascii="Calibri" w:hAnsi="Calibri"/>
                <w:b w:val="0"/>
                <w:i w:val="0"/>
                <w:sz w:val="16"/>
              </w:rPr>
              <w:t>“Circadian rhythm sleep disorders include, for example, time-zone change (jet lag) syndrome, shift work sleep disorder, irregular sleep-wake pattern, delayed sleep phase syndrome, advanced sleep phase syndrome, and non-24-hour sleep-wake disorder.”</w:t>
            </w:r>
            <w:r>
              <w:rPr>
                <w:rFonts w:ascii="Calibri" w:hAnsi="Calibri"/>
                <w:b w:val="0"/>
                <w:i w:val="0"/>
                <w:color w:val="595959"/>
                <w:sz w:val="16"/>
              </w:rPr>
              <w:t xml:space="preserve"> — Definitions section</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c2.L1.a1</w:t>
            </w:r>
          </w:p>
        </w:tc>
        <w:tc>
          <w:tcPr>
            <w:tcW w:type="dxa" w:w="2016"/>
          </w:tcPr>
          <w:p>
            <w:pPr>
              <w:spacing w:after="0" w:before="0"/>
            </w:pPr>
            <w:r/>
            <w:r>
              <w:rPr>
                <w:rFonts w:ascii="Calibri" w:hAnsi="Calibri"/>
                <w:b/>
                <w:i w:val="0"/>
                <w:color w:val="142B4A"/>
                <w:sz w:val="16"/>
              </w:rPr>
              <w:t>US20130064804A1 (Naidu et al.)</w:t>
            </w:r>
            <w:r>
              <w:rPr>
                <w:rFonts w:ascii="Calibri" w:hAnsi="Calibri"/>
                <w:b w:val="0"/>
                <w:i w:val="0"/>
                <w:color w:val="595959"/>
                <w:sz w:val="16"/>
              </w:rPr>
              <w:br/>
              <w:t>2013-03-14 · 102(a)(2)</w:t>
            </w:r>
          </w:p>
        </w:tc>
        <w:tc>
          <w:tcPr>
            <w:tcW w:type="dxa" w:w="1440"/>
          </w:tcPr>
          <w:p>
            <w:pPr>
              <w:spacing w:after="0" w:before="0"/>
            </w:pPr>
            <w:r/>
            <w:r>
              <w:rPr>
                <w:rFonts w:ascii="Calibri" w:hAnsi="Calibri"/>
                <w:b/>
                <w:i w:val="0"/>
                <w:color w:val="2E7D32"/>
                <w:sz w:val="16"/>
              </w:rPr>
              <w:t>EXPLICIT</w:t>
            </w:r>
          </w:p>
        </w:tc>
        <w:tc>
          <w:tcPr>
            <w:tcW w:type="dxa" w:w="4320"/>
          </w:tcPr>
          <w:p>
            <w:pPr>
              <w:spacing w:after="0" w:before="0"/>
            </w:pPr>
            <w:r/>
            <w:r>
              <w:rPr>
                <w:rFonts w:ascii="Calibri" w:hAnsi="Calibri"/>
                <w:b w:val="0"/>
                <w:i w:val="0"/>
                <w:sz w:val="16"/>
              </w:rPr>
              <w:t>“Non 24-Hour Sleep Wake Disorder (Non-24), a condition in which an individual has a normal sleep pattern but lives in a 25-hour day.”</w:t>
            </w:r>
            <w:r>
              <w:rPr>
                <w:rFonts w:ascii="Calibri" w:hAnsi="Calibri"/>
                <w:b w:val="0"/>
                <w:i w:val="0"/>
                <w:color w:val="595959"/>
                <w:sz w:val="16"/>
              </w:rPr>
              <w:t xml:space="preserve"> — Example-5</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c4.L1.a1</w:t>
            </w:r>
          </w:p>
        </w:tc>
        <w:tc>
          <w:tcPr>
            <w:tcW w:type="dxa" w:w="2016"/>
            <w:shd w:val="clear" w:color="auto" w:fill="F4F6FA"/>
          </w:tcPr>
          <w:p>
            <w:pPr>
              <w:spacing w:after="0" w:before="0"/>
            </w:pPr>
            <w:r/>
            <w:r>
              <w:rPr>
                <w:rFonts w:ascii="Calibri" w:hAnsi="Calibri"/>
                <w:b/>
                <w:i w:val="0"/>
                <w:color w:val="142B4A"/>
                <w:sz w:val="16"/>
              </w:rPr>
              <w:t>US20040044064A1 (Lewy et al.)</w:t>
            </w:r>
            <w:r>
              <w:rPr>
                <w:rFonts w:ascii="Calibri" w:hAnsi="Calibri"/>
                <w:b w:val="0"/>
                <w:i w:val="0"/>
                <w:color w:val="595959"/>
                <w:sz w:val="16"/>
              </w:rPr>
              <w:br/>
              <w:t>2004-03-04 · 102(a)(1)</w:t>
            </w:r>
          </w:p>
        </w:tc>
        <w:tc>
          <w:tcPr>
            <w:tcW w:type="dxa" w:w="1440"/>
            <w:shd w:val="clear" w:color="auto" w:fill="F4F6FA"/>
          </w:tcPr>
          <w:p>
            <w:pPr>
              <w:spacing w:after="0" w:before="0"/>
            </w:pPr>
            <w:r/>
            <w:r>
              <w:rPr>
                <w:rFonts w:ascii="Calibri" w:hAnsi="Calibri"/>
                <w:b/>
                <w:i w:val="0"/>
                <w:color w:val="2E7D32"/>
                <w:sz w:val="16"/>
              </w:rPr>
              <w:t>EXPLICIT · stated outright</w:t>
            </w:r>
          </w:p>
        </w:tc>
        <w:tc>
          <w:tcPr>
            <w:tcW w:type="dxa" w:w="4320"/>
            <w:shd w:val="clear" w:color="auto" w:fill="F4F6FA"/>
          </w:tcPr>
          <w:p>
            <w:pPr>
              <w:spacing w:after="0" w:before="0"/>
            </w:pPr>
            <w:r/>
            <w:r>
              <w:rPr>
                <w:rFonts w:ascii="Calibri" w:hAnsi="Calibri"/>
                <w:b w:val="0"/>
                <w:i w:val="0"/>
                <w:sz w:val="16"/>
              </w:rPr>
              <w:t>“In a preferred embodiment of this invention, melatonin is administered orally.”</w:t>
            </w:r>
            <w:r>
              <w:rPr>
                <w:rFonts w:ascii="Calibri" w:hAnsi="Calibri"/>
                <w:b w:val="0"/>
                <w:i w:val="0"/>
                <w:color w:val="595959"/>
                <w:sz w:val="16"/>
              </w:rPr>
              <w:t xml:space="preserve"> — Detailed Description</w:t>
            </w:r>
          </w:p>
        </w:tc>
        <w:tc>
          <w:tcPr>
            <w:tcW w:type="dxa" w:w="1728"/>
            <w:shd w:val="clear" w:color="auto" w:fill="F4F6FA"/>
          </w:tcPr>
          <w:p>
            <w:pPr>
              <w:spacing w:after="0" w:before="0"/>
            </w:pPr>
            <w:r/>
            <w:r>
              <w:rPr>
                <w:rFonts w:ascii="Calibri" w:hAnsi="Calibri"/>
                <w:b w:val="0"/>
                <w:i w:val="0"/>
                <w:sz w:val="16"/>
              </w:rPr>
              <w:t>in the combination</w:t>
            </w:r>
          </w:p>
        </w:tc>
      </w:tr>
      <w:tr>
        <w:tc>
          <w:tcPr>
            <w:tcW w:type="dxa" w:w="720"/>
          </w:tcPr>
          <w:p>
            <w:pPr>
              <w:spacing w:after="0" w:before="0"/>
            </w:pPr>
            <w:r/>
            <w:r>
              <w:rPr>
                <w:rFonts w:ascii="Calibri" w:hAnsi="Calibri"/>
                <w:b w:val="0"/>
                <w:i w:val="0"/>
                <w:sz w:val="16"/>
              </w:rPr>
              <w:t>c4.L1.a1</w:t>
            </w:r>
          </w:p>
        </w:tc>
        <w:tc>
          <w:tcPr>
            <w:tcW w:type="dxa" w:w="2016"/>
          </w:tcPr>
          <w:p>
            <w:pPr>
              <w:spacing w:after="0" w:before="0"/>
            </w:pPr>
            <w:r/>
            <w:r>
              <w:rPr>
                <w:rFonts w:ascii="Calibri" w:hAnsi="Calibri"/>
                <w:b/>
                <w:i w:val="0"/>
                <w:color w:val="142B4A"/>
                <w:sz w:val="16"/>
              </w:rPr>
              <w:t>US20100056622A1 (Lauterbach)</w:t>
            </w:r>
            <w:r>
              <w:rPr>
                <w:rFonts w:ascii="Calibri" w:hAnsi="Calibri"/>
                <w:b w:val="0"/>
                <w:i w:val="0"/>
                <w:color w:val="595959"/>
                <w:sz w:val="16"/>
              </w:rPr>
              <w:br/>
              <w:t>2010-03-04 · 102(a)(1)</w:t>
            </w:r>
          </w:p>
        </w:tc>
        <w:tc>
          <w:tcPr>
            <w:tcW w:type="dxa" w:w="1440"/>
          </w:tcPr>
          <w:p>
            <w:pPr>
              <w:spacing w:after="0" w:before="0"/>
            </w:pPr>
            <w:r/>
            <w:r>
              <w:rPr>
                <w:rFonts w:ascii="Calibri" w:hAnsi="Calibri"/>
                <w:b/>
                <w:i w:val="0"/>
                <w:color w:val="2E7D32"/>
                <w:sz w:val="16"/>
              </w:rPr>
              <w:t>EXPLICIT</w:t>
            </w:r>
          </w:p>
        </w:tc>
        <w:tc>
          <w:tcPr>
            <w:tcW w:type="dxa" w:w="4320"/>
          </w:tcPr>
          <w:p>
            <w:pPr>
              <w:spacing w:after="0" w:before="0"/>
            </w:pPr>
            <w:r/>
            <w:r>
              <w:rPr>
                <w:rFonts w:ascii="Calibri" w:hAnsi="Calibri"/>
                <w:b w:val="0"/>
                <w:i w:val="0"/>
                <w:sz w:val="16"/>
              </w:rPr>
              <w:t>“In one desired embodiment, the step of administering ramelteon to a patient suffering from a neurodegenerative disease comprises oral administration of ramelteon to the patient.”</w:t>
            </w:r>
            <w:r>
              <w:rPr>
                <w:rFonts w:ascii="Calibri" w:hAnsi="Calibri"/>
                <w:b w:val="0"/>
                <w:i w:val="0"/>
                <w:color w:val="595959"/>
                <w:sz w:val="16"/>
              </w:rPr>
              <w:t xml:space="preserve"> — Detailed Description</w:t>
            </w:r>
          </w:p>
        </w:tc>
        <w:tc>
          <w:tcPr>
            <w:tcW w:type="dxa" w:w="1728"/>
          </w:tcPr>
          <w:p>
            <w:pPr>
              <w:spacing w:after="0" w:before="0"/>
            </w:pPr>
            <w:r/>
            <w:r>
              <w:rPr>
                <w:rFonts w:ascii="Calibri" w:hAnsi="Calibri"/>
                <w:b w:val="0"/>
                <w:i w:val="0"/>
                <w:sz w:val="16"/>
              </w:rPr>
              <w:t>in the combination</w:t>
            </w:r>
          </w:p>
        </w:tc>
      </w:tr>
      <w:tr>
        <w:tc>
          <w:tcPr>
            <w:tcW w:type="dxa" w:w="720"/>
            <w:shd w:val="clear" w:color="auto" w:fill="F4F6FA"/>
          </w:tcPr>
          <w:p>
            <w:pPr>
              <w:spacing w:after="0" w:before="0"/>
            </w:pPr>
            <w:r/>
            <w:r>
              <w:rPr>
                <w:rFonts w:ascii="Calibri" w:hAnsi="Calibri"/>
                <w:b w:val="0"/>
                <w:i w:val="0"/>
                <w:sz w:val="16"/>
              </w:rPr>
              <w:t>c4.L1.a1</w:t>
            </w:r>
          </w:p>
        </w:tc>
        <w:tc>
          <w:tcPr>
            <w:tcW w:type="dxa" w:w="2016"/>
            <w:shd w:val="clear" w:color="auto" w:fill="F4F6FA"/>
          </w:tcPr>
          <w:p>
            <w:pPr>
              <w:spacing w:after="0" w:before="0"/>
            </w:pPr>
            <w:r/>
            <w:r>
              <w:rPr>
                <w:rFonts w:ascii="Calibri" w:hAnsi="Calibri"/>
                <w:b/>
                <w:i w:val="0"/>
                <w:color w:val="142B4A"/>
                <w:sz w:val="16"/>
              </w:rPr>
              <w:t>US20060094705A1 (Edgar et al.)</w:t>
            </w:r>
            <w:r>
              <w:rPr>
                <w:rFonts w:ascii="Calibri" w:hAnsi="Calibri"/>
                <w:b w:val="0"/>
                <w:i w:val="0"/>
                <w:color w:val="595959"/>
                <w:sz w:val="16"/>
              </w:rPr>
              <w:br/>
              <w:t>2006-05-04 · 102(a)(1)</w:t>
            </w:r>
          </w:p>
        </w:tc>
        <w:tc>
          <w:tcPr>
            <w:tcW w:type="dxa" w:w="1440"/>
            <w:shd w:val="clear" w:color="auto" w:fill="F4F6FA"/>
          </w:tcPr>
          <w:p>
            <w:pPr>
              <w:spacing w:after="0" w:before="0"/>
            </w:pPr>
            <w:r/>
            <w:r>
              <w:rPr>
                <w:rFonts w:ascii="Calibri" w:hAnsi="Calibri"/>
                <w:b/>
                <w:i w:val="0"/>
                <w:color w:val="2E7D32"/>
                <w:sz w:val="16"/>
              </w:rPr>
              <w:t>EXPLICIT</w:t>
            </w:r>
          </w:p>
        </w:tc>
        <w:tc>
          <w:tcPr>
            <w:tcW w:type="dxa" w:w="4320"/>
            <w:shd w:val="clear" w:color="auto" w:fill="F4F6FA"/>
          </w:tcPr>
          <w:p>
            <w:pPr>
              <w:spacing w:after="0" w:before="0"/>
            </w:pPr>
            <w:r/>
            <w:r>
              <w:rPr>
                <w:rFonts w:ascii="Calibri" w:hAnsi="Calibri"/>
                <w:b w:val="0"/>
                <w:i w:val="0"/>
                <w:sz w:val="16"/>
              </w:rPr>
              <w:t>“In one embodiment, the compound is administered orally.”</w:t>
            </w:r>
            <w:r>
              <w:rPr>
                <w:rFonts w:ascii="Calibri" w:hAnsi="Calibri"/>
                <w:b w:val="0"/>
                <w:i w:val="0"/>
                <w:color w:val="595959"/>
                <w:sz w:val="16"/>
              </w:rPr>
              <w:t xml:space="preserve"> — Detailed Description, administration routes</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c4.L1.a1</w:t>
            </w:r>
          </w:p>
        </w:tc>
        <w:tc>
          <w:tcPr>
            <w:tcW w:type="dxa" w:w="2016"/>
          </w:tcPr>
          <w:p>
            <w:pPr>
              <w:spacing w:after="0" w:before="0"/>
            </w:pPr>
            <w:r/>
            <w:r>
              <w:rPr>
                <w:rFonts w:ascii="Calibri" w:hAnsi="Calibri"/>
                <w:b/>
                <w:i w:val="0"/>
                <w:color w:val="142B4A"/>
                <w:sz w:val="16"/>
              </w:rPr>
              <w:t>US7326721B2 (Edgar et al.)</w:t>
            </w:r>
            <w:r>
              <w:rPr>
                <w:rFonts w:ascii="Calibri" w:hAnsi="Calibri"/>
                <w:b w:val="0"/>
                <w:i w:val="0"/>
                <w:color w:val="595959"/>
                <w:sz w:val="16"/>
              </w:rPr>
              <w:br/>
              <w:t>2008-02-05 · 102(a)(1)</w:t>
            </w:r>
          </w:p>
        </w:tc>
        <w:tc>
          <w:tcPr>
            <w:tcW w:type="dxa" w:w="1440"/>
          </w:tcPr>
          <w:p>
            <w:pPr>
              <w:spacing w:after="0" w:before="0"/>
            </w:pPr>
            <w:r/>
            <w:r>
              <w:rPr>
                <w:rFonts w:ascii="Calibri" w:hAnsi="Calibri"/>
                <w:b/>
                <w:i w:val="0"/>
                <w:color w:val="2E7D32"/>
                <w:sz w:val="16"/>
              </w:rPr>
              <w:t>EXPLICIT</w:t>
            </w:r>
          </w:p>
        </w:tc>
        <w:tc>
          <w:tcPr>
            <w:tcW w:type="dxa" w:w="4320"/>
          </w:tcPr>
          <w:p>
            <w:pPr>
              <w:spacing w:after="0" w:before="0"/>
            </w:pPr>
            <w:r/>
            <w:r>
              <w:rPr>
                <w:rFonts w:ascii="Calibri" w:hAnsi="Calibri"/>
                <w:b w:val="0"/>
                <w:i w:val="0"/>
                <w:sz w:val="16"/>
              </w:rPr>
              <w:t>“In a preferred embodiment, the compound is administered orally.”</w:t>
            </w:r>
            <w:r>
              <w:rPr>
                <w:rFonts w:ascii="Calibri" w:hAnsi="Calibri"/>
                <w:b w:val="0"/>
                <w:i w:val="0"/>
                <w:color w:val="595959"/>
                <w:sz w:val="16"/>
              </w:rPr>
              <w:t xml:space="preserve"> — Detailed Description, modulating sleep method section</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c4.L1.a1</w:t>
            </w:r>
          </w:p>
        </w:tc>
        <w:tc>
          <w:tcPr>
            <w:tcW w:type="dxa" w:w="2016"/>
            <w:shd w:val="clear" w:color="auto" w:fill="F4F6FA"/>
          </w:tcPr>
          <w:p>
            <w:pPr>
              <w:spacing w:after="0" w:before="0"/>
            </w:pPr>
            <w:r/>
            <w:r>
              <w:rPr>
                <w:rFonts w:ascii="Calibri" w:hAnsi="Calibri"/>
                <w:b/>
                <w:i w:val="0"/>
                <w:color w:val="142B4A"/>
                <w:sz w:val="16"/>
              </w:rPr>
              <w:t>US20100261786A1 (Lavedan et al.)</w:t>
            </w:r>
            <w:r>
              <w:rPr>
                <w:rFonts w:ascii="Calibri" w:hAnsi="Calibri"/>
                <w:b w:val="0"/>
                <w:i w:val="0"/>
                <w:color w:val="595959"/>
                <w:sz w:val="16"/>
              </w:rPr>
              <w:br/>
              <w:t>2010-10-14 · 102(a)(1)</w:t>
            </w:r>
          </w:p>
        </w:tc>
        <w:tc>
          <w:tcPr>
            <w:tcW w:type="dxa" w:w="1440"/>
            <w:shd w:val="clear" w:color="auto" w:fill="F4F6FA"/>
          </w:tcPr>
          <w:p>
            <w:pPr>
              <w:spacing w:after="0" w:before="0"/>
            </w:pPr>
            <w:r/>
            <w:r>
              <w:rPr>
                <w:rFonts w:ascii="Calibri" w:hAnsi="Calibri"/>
                <w:b/>
                <w:i w:val="0"/>
                <w:color w:val="2E7D32"/>
                <w:sz w:val="16"/>
              </w:rPr>
              <w:t>EXPLICIT</w:t>
            </w:r>
          </w:p>
        </w:tc>
        <w:tc>
          <w:tcPr>
            <w:tcW w:type="dxa" w:w="4320"/>
            <w:shd w:val="clear" w:color="auto" w:fill="F4F6FA"/>
          </w:tcPr>
          <w:p>
            <w:pPr>
              <w:spacing w:after="0" w:before="0"/>
            </w:pPr>
            <w:r/>
            <w:r>
              <w:rPr>
                <w:rFonts w:ascii="Calibri" w:hAnsi="Calibri"/>
                <w:b w:val="0"/>
                <w:i w:val="0"/>
                <w:sz w:val="16"/>
              </w:rPr>
              <w:t>“The route of administration is usually oral although other routes of administration, e.g., parenteral, intravenous, intramuscular, buccal, lozenge, transdermal, transmucosal, etc., can be used.”</w:t>
            </w:r>
            <w:r>
              <w:rPr>
                <w:rFonts w:ascii="Calibri" w:hAnsi="Calibri"/>
                <w:b w:val="0"/>
                <w:i w:val="0"/>
                <w:color w:val="595959"/>
                <w:sz w:val="16"/>
              </w:rPr>
              <w:t xml:space="preserve"> — Detailed Description</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c4.L1.a1</w:t>
            </w:r>
          </w:p>
        </w:tc>
        <w:tc>
          <w:tcPr>
            <w:tcW w:type="dxa" w:w="2016"/>
          </w:tcPr>
          <w:p>
            <w:pPr>
              <w:spacing w:after="0" w:before="0"/>
            </w:pPr>
            <w:r/>
            <w:r>
              <w:rPr>
                <w:rFonts w:ascii="Calibri" w:hAnsi="Calibri"/>
                <w:b/>
                <w:i w:val="0"/>
                <w:color w:val="142B4A"/>
                <w:sz w:val="16"/>
              </w:rPr>
              <w:t>US8101596B2 (Edgar et al.)</w:t>
            </w:r>
            <w:r>
              <w:rPr>
                <w:rFonts w:ascii="Calibri" w:hAnsi="Calibri"/>
                <w:b w:val="0"/>
                <w:i w:val="0"/>
                <w:color w:val="595959"/>
                <w:sz w:val="16"/>
              </w:rPr>
              <w:br/>
              <w:t>2012-01-24 · 102(a)(1)</w:t>
            </w:r>
          </w:p>
        </w:tc>
        <w:tc>
          <w:tcPr>
            <w:tcW w:type="dxa" w:w="1440"/>
          </w:tcPr>
          <w:p>
            <w:pPr>
              <w:spacing w:after="0" w:before="0"/>
            </w:pPr>
            <w:r/>
            <w:r>
              <w:rPr>
                <w:rFonts w:ascii="Calibri" w:hAnsi="Calibri"/>
                <w:b/>
                <w:i w:val="0"/>
                <w:color w:val="2E7D32"/>
                <w:sz w:val="16"/>
              </w:rPr>
              <w:t>EXPLICIT</w:t>
            </w:r>
          </w:p>
        </w:tc>
        <w:tc>
          <w:tcPr>
            <w:tcW w:type="dxa" w:w="4320"/>
          </w:tcPr>
          <w:p>
            <w:pPr>
              <w:spacing w:after="0" w:before="0"/>
            </w:pPr>
            <w:r/>
            <w:r>
              <w:rPr>
                <w:rFonts w:ascii="Calibri" w:hAnsi="Calibri"/>
                <w:b w:val="0"/>
                <w:i w:val="0"/>
                <w:sz w:val="16"/>
              </w:rPr>
              <w:t>“In one embodiment, the compound is administered orally.”</w:t>
            </w:r>
            <w:r>
              <w:rPr>
                <w:rFonts w:ascii="Calibri" w:hAnsi="Calibri"/>
                <w:b w:val="0"/>
                <w:i w:val="0"/>
                <w:color w:val="595959"/>
                <w:sz w:val="16"/>
              </w:rPr>
              <w:t xml:space="preserve"> — Administration section</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c4.L2.a1</w:t>
            </w:r>
          </w:p>
        </w:tc>
        <w:tc>
          <w:tcPr>
            <w:tcW w:type="dxa" w:w="2016"/>
            <w:shd w:val="clear" w:color="auto" w:fill="F4F6FA"/>
          </w:tcPr>
          <w:p>
            <w:pPr>
              <w:spacing w:after="0" w:before="0"/>
            </w:pPr>
            <w:r/>
            <w:r>
              <w:rPr>
                <w:rFonts w:ascii="Calibri" w:hAnsi="Calibri"/>
                <w:b/>
                <w:i w:val="0"/>
                <w:color w:val="142B4A"/>
                <w:sz w:val="16"/>
              </w:rPr>
              <w:t>US20100261786A1 (Lavedan et al.)</w:t>
            </w:r>
            <w:r>
              <w:rPr>
                <w:rFonts w:ascii="Calibri" w:hAnsi="Calibri"/>
                <w:b w:val="0"/>
                <w:i w:val="0"/>
                <w:color w:val="595959"/>
                <w:sz w:val="16"/>
              </w:rPr>
              <w:br/>
              <w:t>2010-10-14 · 102(a)(1)</w:t>
            </w:r>
          </w:p>
        </w:tc>
        <w:tc>
          <w:tcPr>
            <w:tcW w:type="dxa" w:w="1440"/>
            <w:shd w:val="clear" w:color="auto" w:fill="F4F6FA"/>
          </w:tcPr>
          <w:p>
            <w:pPr>
              <w:spacing w:after="0" w:before="0"/>
            </w:pPr>
            <w:r/>
            <w:r>
              <w:rPr>
                <w:rFonts w:ascii="Calibri" w:hAnsi="Calibri"/>
                <w:b/>
                <w:i w:val="0"/>
                <w:color w:val="2E7D32"/>
                <w:sz w:val="16"/>
              </w:rPr>
              <w:t>EXPLICIT · stated outright</w:t>
            </w:r>
          </w:p>
        </w:tc>
        <w:tc>
          <w:tcPr>
            <w:tcW w:type="dxa" w:w="4320"/>
            <w:shd w:val="clear" w:color="auto" w:fill="F4F6FA"/>
          </w:tcPr>
          <w:p>
            <w:pPr>
              <w:spacing w:after="0" w:before="0"/>
            </w:pPr>
            <w:r/>
            <w:r>
              <w:rPr>
                <w:rFonts w:ascii="Calibri" w:hAnsi="Calibri"/>
                <w:b w:val="0"/>
                <w:i w:val="0"/>
                <w:sz w:val="16"/>
              </w:rPr>
              <w:t>“A typical unit dose form could be size 0 or size 1 capsule comprising 20, 50, or 100 mg of (1R-trans)-N-[[2-(2,3-dihydro-4-benzofuranyl)cyclopropyl]methyl]propanamide”</w:t>
            </w:r>
            <w:r>
              <w:rPr>
                <w:rFonts w:ascii="Calibri" w:hAnsi="Calibri"/>
                <w:b w:val="0"/>
                <w:i w:val="0"/>
                <w:color w:val="595959"/>
                <w:sz w:val="16"/>
              </w:rPr>
              <w:t xml:space="preserve"> — Detailed Description</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c4.L3.a1</w:t>
            </w:r>
          </w:p>
        </w:tc>
        <w:tc>
          <w:tcPr>
            <w:tcW w:type="dxa" w:w="2016"/>
          </w:tcPr>
          <w:p>
            <w:pPr>
              <w:spacing w:after="0" w:before="0"/>
            </w:pPr>
            <w:r/>
            <w:r>
              <w:rPr>
                <w:rFonts w:ascii="Calibri" w:hAnsi="Calibri"/>
                <w:b/>
                <w:i w:val="0"/>
                <w:color w:val="142B4A"/>
                <w:sz w:val="16"/>
              </w:rPr>
              <w:t>US20050137247A1 (Czeisler et al.)</w:t>
            </w:r>
            <w:r>
              <w:rPr>
                <w:rFonts w:ascii="Calibri" w:hAnsi="Calibri"/>
                <w:b w:val="0"/>
                <w:i w:val="0"/>
                <w:color w:val="595959"/>
                <w:sz w:val="16"/>
              </w:rPr>
              <w:br/>
              <w:t>2005-06-23 · 102(a)(1)</w:t>
            </w:r>
          </w:p>
        </w:tc>
        <w:tc>
          <w:tcPr>
            <w:tcW w:type="dxa" w:w="1440"/>
          </w:tcPr>
          <w:p>
            <w:pPr>
              <w:spacing w:after="0" w:before="0"/>
            </w:pPr>
            <w:r/>
            <w:r>
              <w:rPr>
                <w:rFonts w:ascii="Calibri" w:hAnsi="Calibri"/>
                <w:b/>
                <w:i w:val="0"/>
                <w:color w:val="2E7D32"/>
                <w:sz w:val="16"/>
              </w:rPr>
              <w:t>EXPLICIT · stated outright</w:t>
            </w:r>
          </w:p>
        </w:tc>
        <w:tc>
          <w:tcPr>
            <w:tcW w:type="dxa" w:w="4320"/>
          </w:tcPr>
          <w:p>
            <w:pPr>
              <w:spacing w:after="0" w:before="0"/>
            </w:pPr>
            <w:r/>
            <w:r>
              <w:rPr>
                <w:rFonts w:ascii="Calibri" w:hAnsi="Calibri"/>
                <w:b w:val="0"/>
                <w:i w:val="0"/>
                <w:sz w:val="16"/>
              </w:rPr>
              <w:t>“wherein said melatonin receptor agonist is administered to said subject at night time or before the patient's bedtime on a daily basis”</w:t>
            </w:r>
            <w:r>
              <w:rPr>
                <w:rFonts w:ascii="Calibri" w:hAnsi="Calibri"/>
                <w:b w:val="0"/>
                <w:i w:val="0"/>
                <w:color w:val="595959"/>
                <w:sz w:val="16"/>
              </w:rPr>
              <w:t xml:space="preserve"> — Claim 1</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c4.L3.a1</w:t>
            </w:r>
          </w:p>
        </w:tc>
        <w:tc>
          <w:tcPr>
            <w:tcW w:type="dxa" w:w="2016"/>
            <w:shd w:val="clear" w:color="auto" w:fill="F4F6FA"/>
          </w:tcPr>
          <w:p>
            <w:pPr>
              <w:spacing w:after="0" w:before="0"/>
            </w:pPr>
            <w:r/>
            <w:r>
              <w:rPr>
                <w:rFonts w:ascii="Calibri" w:hAnsi="Calibri"/>
                <w:b/>
                <w:i w:val="0"/>
                <w:color w:val="142B4A"/>
                <w:sz w:val="16"/>
              </w:rPr>
              <w:t>US20040044064A1 (Lewy et al.)</w:t>
            </w:r>
            <w:r>
              <w:rPr>
                <w:rFonts w:ascii="Calibri" w:hAnsi="Calibri"/>
                <w:b w:val="0"/>
                <w:i w:val="0"/>
                <w:color w:val="595959"/>
                <w:sz w:val="16"/>
              </w:rPr>
              <w:br/>
              <w:t>2004-03-04 · 102(a)(1)</w:t>
            </w:r>
          </w:p>
        </w:tc>
        <w:tc>
          <w:tcPr>
            <w:tcW w:type="dxa" w:w="1440"/>
            <w:shd w:val="clear" w:color="auto" w:fill="F4F6FA"/>
          </w:tcPr>
          <w:p>
            <w:pPr>
              <w:spacing w:after="0" w:before="0"/>
            </w:pPr>
            <w:r/>
            <w:r>
              <w:rPr>
                <w:rFonts w:ascii="Calibri" w:hAnsi="Calibri"/>
                <w:b/>
                <w:i w:val="0"/>
                <w:color w:val="142B4A"/>
                <w:sz w:val="16"/>
              </w:rPr>
              <w:t>PARTIAL</w:t>
            </w:r>
          </w:p>
        </w:tc>
        <w:tc>
          <w:tcPr>
            <w:tcW w:type="dxa" w:w="4320"/>
            <w:shd w:val="clear" w:color="auto" w:fill="F4F6FA"/>
          </w:tcPr>
          <w:p>
            <w:pPr>
              <w:spacing w:after="0" w:before="0"/>
            </w:pPr>
            <w:r/>
            <w:r>
              <w:rPr>
                <w:rFonts w:ascii="Calibri" w:hAnsi="Calibri"/>
                <w:b w:val="0"/>
                <w:i w:val="0"/>
                <w:sz w:val="16"/>
              </w:rPr>
              <w:t>“melatonin is administered to the human in an immediate-release formulation before about circadian time (CT) 14”</w:t>
            </w:r>
            <w:r>
              <w:rPr>
                <w:rFonts w:ascii="Calibri" w:hAnsi="Calibri"/>
                <w:b w:val="0"/>
                <w:i w:val="0"/>
                <w:color w:val="595959"/>
                <w:sz w:val="16"/>
              </w:rPr>
              <w:t xml:space="preserve"> — Summary of the Invention</w:t>
            </w:r>
          </w:p>
        </w:tc>
        <w:tc>
          <w:tcPr>
            <w:tcW w:type="dxa" w:w="1728"/>
            <w:shd w:val="clear" w:color="auto" w:fill="F4F6FA"/>
          </w:tcPr>
          <w:p>
            <w:pPr>
              <w:spacing w:after="0" w:before="0"/>
            </w:pPr>
            <w:r/>
            <w:r>
              <w:rPr>
                <w:rFonts w:ascii="Calibri" w:hAnsi="Calibri"/>
                <w:b w:val="0"/>
                <w:i w:val="0"/>
                <w:sz w:val="16"/>
              </w:rPr>
              <w:t>in the combination</w:t>
            </w:r>
          </w:p>
        </w:tc>
      </w:tr>
      <w:tr>
        <w:tc>
          <w:tcPr>
            <w:tcW w:type="dxa" w:w="720"/>
          </w:tcPr>
          <w:p>
            <w:pPr>
              <w:spacing w:after="0" w:before="0"/>
            </w:pPr>
            <w:r/>
            <w:r>
              <w:rPr>
                <w:rFonts w:ascii="Calibri" w:hAnsi="Calibri"/>
                <w:b w:val="0"/>
                <w:i w:val="0"/>
                <w:sz w:val="16"/>
              </w:rPr>
              <w:t>c4.L3.a1</w:t>
            </w:r>
          </w:p>
        </w:tc>
        <w:tc>
          <w:tcPr>
            <w:tcW w:type="dxa" w:w="2016"/>
          </w:tcPr>
          <w:p>
            <w:pPr>
              <w:spacing w:after="0" w:before="0"/>
            </w:pPr>
            <w:r/>
            <w:r>
              <w:rPr>
                <w:rFonts w:ascii="Calibri" w:hAnsi="Calibri"/>
                <w:b/>
                <w:i w:val="0"/>
                <w:color w:val="142B4A"/>
                <w:sz w:val="16"/>
              </w:rPr>
              <w:t>US20100056622A1 (Lauterbach)</w:t>
            </w:r>
            <w:r>
              <w:rPr>
                <w:rFonts w:ascii="Calibri" w:hAnsi="Calibri"/>
                <w:b w:val="0"/>
                <w:i w:val="0"/>
                <w:color w:val="595959"/>
                <w:sz w:val="16"/>
              </w:rPr>
              <w:br/>
              <w:t>2010-03-04 · 102(a)(1)</w:t>
            </w:r>
          </w:p>
        </w:tc>
        <w:tc>
          <w:tcPr>
            <w:tcW w:type="dxa" w:w="1440"/>
          </w:tcPr>
          <w:p>
            <w:pPr>
              <w:spacing w:after="0" w:before="0"/>
            </w:pPr>
            <w:r/>
            <w:r>
              <w:rPr>
                <w:rFonts w:ascii="Calibri" w:hAnsi="Calibri"/>
                <w:b/>
                <w:i w:val="0"/>
                <w:color w:val="142B4A"/>
                <w:sz w:val="16"/>
              </w:rPr>
              <w:t>PARTIAL</w:t>
            </w:r>
          </w:p>
        </w:tc>
        <w:tc>
          <w:tcPr>
            <w:tcW w:type="dxa" w:w="4320"/>
          </w:tcPr>
          <w:p>
            <w:pPr>
              <w:spacing w:after="0" w:before="0"/>
            </w:pPr>
            <w:r/>
            <w:r>
              <w:rPr>
                <w:rFonts w:ascii="Calibri" w:hAnsi="Calibri"/>
                <w:b w:val="0"/>
                <w:i w:val="0"/>
                <w:sz w:val="16"/>
              </w:rPr>
              <w:t>“Ramelteon was administered beginning at 8 mg at bedtime and increased after 3 days to 16 mg by mouth each night at bedtime.”</w:t>
            </w:r>
            <w:r>
              <w:rPr>
                <w:rFonts w:ascii="Calibri" w:hAnsi="Calibri"/>
                <w:b w:val="0"/>
                <w:i w:val="0"/>
                <w:color w:val="595959"/>
                <w:sz w:val="16"/>
              </w:rPr>
              <w:t xml:space="preserve"> — Example 1</w:t>
            </w:r>
          </w:p>
        </w:tc>
        <w:tc>
          <w:tcPr>
            <w:tcW w:type="dxa" w:w="1728"/>
          </w:tcPr>
          <w:p>
            <w:pPr>
              <w:spacing w:after="0" w:before="0"/>
            </w:pPr>
            <w:r/>
            <w:r>
              <w:rPr>
                <w:rFonts w:ascii="Calibri" w:hAnsi="Calibri"/>
                <w:b w:val="0"/>
                <w:i w:val="0"/>
                <w:sz w:val="16"/>
              </w:rPr>
              <w:t>in the combination</w:t>
            </w:r>
          </w:p>
        </w:tc>
      </w:tr>
      <w:tr>
        <w:tc>
          <w:tcPr>
            <w:tcW w:type="dxa" w:w="720"/>
            <w:shd w:val="clear" w:color="auto" w:fill="F4F6FA"/>
          </w:tcPr>
          <w:p>
            <w:pPr>
              <w:spacing w:after="0" w:before="0"/>
            </w:pPr>
            <w:r/>
            <w:r>
              <w:rPr>
                <w:rFonts w:ascii="Calibri" w:hAnsi="Calibri"/>
                <w:b w:val="0"/>
                <w:i w:val="0"/>
                <w:sz w:val="16"/>
              </w:rPr>
              <w:t>c4.L3.a1</w:t>
            </w:r>
          </w:p>
        </w:tc>
        <w:tc>
          <w:tcPr>
            <w:tcW w:type="dxa" w:w="2016"/>
            <w:shd w:val="clear" w:color="auto" w:fill="F4F6FA"/>
          </w:tcPr>
          <w:p>
            <w:pPr>
              <w:spacing w:after="0" w:before="0"/>
            </w:pPr>
            <w:r/>
            <w:r>
              <w:rPr>
                <w:rFonts w:ascii="Calibri" w:hAnsi="Calibri"/>
                <w:b/>
                <w:i w:val="0"/>
                <w:color w:val="142B4A"/>
                <w:sz w:val="16"/>
              </w:rPr>
              <w:t>EP2308491B1 (Bradford et al.)</w:t>
            </w:r>
            <w:r>
              <w:rPr>
                <w:rFonts w:ascii="Calibri" w:hAnsi="Calibri"/>
                <w:b w:val="0"/>
                <w:i w:val="0"/>
                <w:color w:val="595959"/>
                <w:sz w:val="16"/>
              </w:rPr>
              <w:br/>
              <w:t>2011-09-07 · 102(a)(1)</w:t>
            </w:r>
          </w:p>
        </w:tc>
        <w:tc>
          <w:tcPr>
            <w:tcW w:type="dxa" w:w="1440"/>
            <w:shd w:val="clear" w:color="auto" w:fill="F4F6FA"/>
          </w:tcPr>
          <w:p>
            <w:pPr>
              <w:spacing w:after="0" w:before="0"/>
            </w:pPr>
            <w:r/>
            <w:r>
              <w:rPr>
                <w:rFonts w:ascii="Calibri" w:hAnsi="Calibri"/>
                <w:b/>
                <w:i w:val="0"/>
                <w:color w:val="142B4A"/>
                <w:sz w:val="16"/>
              </w:rPr>
              <w:t>PARTIAL</w:t>
            </w:r>
          </w:p>
        </w:tc>
        <w:tc>
          <w:tcPr>
            <w:tcW w:type="dxa" w:w="4320"/>
            <w:shd w:val="clear" w:color="auto" w:fill="F4F6FA"/>
          </w:tcPr>
          <w:p>
            <w:pPr>
              <w:spacing w:after="0" w:before="0"/>
            </w:pPr>
            <w:r/>
            <w:r>
              <w:rPr>
                <w:rFonts w:ascii="Calibri" w:hAnsi="Calibri"/>
                <w:b w:val="0"/>
                <w:i w:val="0"/>
                <w:sz w:val="16"/>
              </w:rPr>
              <w:t>“alternatively is administered in a single dose once a day”</w:t>
            </w:r>
            <w:r>
              <w:rPr>
                <w:rFonts w:ascii="Calibri" w:hAnsi="Calibri"/>
                <w:b w:val="0"/>
                <w:i w:val="0"/>
                <w:color w:val="595959"/>
                <w:sz w:val="16"/>
              </w:rPr>
              <w:t xml:space="preserve"> — Summary</w:t>
            </w:r>
          </w:p>
        </w:tc>
        <w:tc>
          <w:tcPr>
            <w:tcW w:type="dxa" w:w="1728"/>
            <w:shd w:val="clear" w:color="auto" w:fill="F4F6FA"/>
          </w:tcPr>
          <w:p>
            <w:pPr>
              <w:spacing w:after="0" w:before="0"/>
            </w:pPr>
            <w:r/>
            <w:r>
              <w:rPr>
                <w:rFonts w:ascii="Calibri" w:hAnsi="Calibri"/>
                <w:b w:val="0"/>
                <w:i w:val="0"/>
                <w:sz w:val="16"/>
              </w:rPr>
              <w:t>in the combination</w:t>
            </w:r>
          </w:p>
        </w:tc>
      </w:tr>
      <w:tr>
        <w:tc>
          <w:tcPr>
            <w:tcW w:type="dxa" w:w="720"/>
          </w:tcPr>
          <w:p>
            <w:pPr>
              <w:spacing w:after="0" w:before="0"/>
            </w:pPr>
            <w:r/>
            <w:r>
              <w:rPr>
                <w:rFonts w:ascii="Calibri" w:hAnsi="Calibri"/>
                <w:b w:val="0"/>
                <w:i w:val="0"/>
                <w:sz w:val="16"/>
              </w:rPr>
              <w:t>c4.L3.a1</w:t>
            </w:r>
          </w:p>
        </w:tc>
        <w:tc>
          <w:tcPr>
            <w:tcW w:type="dxa" w:w="2016"/>
          </w:tcPr>
          <w:p>
            <w:pPr>
              <w:spacing w:after="0" w:before="0"/>
            </w:pPr>
            <w:r/>
            <w:r>
              <w:rPr>
                <w:rFonts w:ascii="Calibri" w:hAnsi="Calibri"/>
                <w:b/>
                <w:i w:val="0"/>
                <w:color w:val="142B4A"/>
                <w:sz w:val="16"/>
              </w:rPr>
              <w:t>WO2002005850A2 (Meyer)</w:t>
            </w:r>
            <w:r>
              <w:rPr>
                <w:rFonts w:ascii="Calibri" w:hAnsi="Calibri"/>
                <w:b w:val="0"/>
                <w:i w:val="0"/>
                <w:color w:val="595959"/>
                <w:sz w:val="16"/>
              </w:rPr>
              <w:br/>
              <w:t>2002-01-24 · 102(a)(1)</w:t>
            </w:r>
          </w:p>
        </w:tc>
        <w:tc>
          <w:tcPr>
            <w:tcW w:type="dxa" w:w="1440"/>
          </w:tcPr>
          <w:p>
            <w:pPr>
              <w:spacing w:after="0" w:before="0"/>
            </w:pPr>
            <w:r/>
            <w:r>
              <w:rPr>
                <w:rFonts w:ascii="Calibri" w:hAnsi="Calibri"/>
                <w:b/>
                <w:i w:val="0"/>
                <w:color w:val="142B4A"/>
                <w:sz w:val="16"/>
              </w:rPr>
              <w:t>PARTIAL</w:t>
            </w:r>
          </w:p>
        </w:tc>
        <w:tc>
          <w:tcPr>
            <w:tcW w:type="dxa" w:w="4320"/>
          </w:tcPr>
          <w:p>
            <w:pPr>
              <w:spacing w:after="0" w:before="0"/>
            </w:pPr>
            <w:r/>
            <w:r>
              <w:rPr>
                <w:rFonts w:ascii="Calibri" w:hAnsi="Calibri"/>
                <w:b w:val="0"/>
                <w:i w:val="0"/>
                <w:sz w:val="16"/>
              </w:rPr>
              <w:t>“Commercially available Rifampin tablets (600mg) were taken daily for four consecutive days”</w:t>
            </w:r>
            <w:r>
              <w:rPr>
                <w:rFonts w:ascii="Calibri" w:hAnsi="Calibri"/>
                <w:b w:val="0"/>
                <w:i w:val="0"/>
                <w:color w:val="595959"/>
                <w:sz w:val="16"/>
              </w:rPr>
              <w:t xml:space="preserve"> — Example 6</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c4.L3.a1</w:t>
            </w:r>
          </w:p>
        </w:tc>
        <w:tc>
          <w:tcPr>
            <w:tcW w:type="dxa" w:w="2016"/>
            <w:shd w:val="clear" w:color="auto" w:fill="F4F6FA"/>
          </w:tcPr>
          <w:p>
            <w:pPr>
              <w:spacing w:after="0" w:before="0"/>
            </w:pPr>
            <w:r/>
            <w:r>
              <w:rPr>
                <w:rFonts w:ascii="Calibri" w:hAnsi="Calibri"/>
                <w:b/>
                <w:i w:val="0"/>
                <w:color w:val="142B4A"/>
                <w:sz w:val="16"/>
              </w:rPr>
              <w:t>US20040106681A1 (Rao et al.)</w:t>
            </w:r>
            <w:r>
              <w:rPr>
                <w:rFonts w:ascii="Calibri" w:hAnsi="Calibri"/>
                <w:b w:val="0"/>
                <w:i w:val="0"/>
                <w:color w:val="595959"/>
                <w:sz w:val="16"/>
              </w:rPr>
              <w:br/>
              <w:t>2004-06-03 · 102(a)(1)</w:t>
            </w:r>
          </w:p>
        </w:tc>
        <w:tc>
          <w:tcPr>
            <w:tcW w:type="dxa" w:w="1440"/>
            <w:shd w:val="clear" w:color="auto" w:fill="F4F6FA"/>
          </w:tcPr>
          <w:p>
            <w:pPr>
              <w:spacing w:after="0" w:before="0"/>
            </w:pPr>
            <w:r/>
            <w:r>
              <w:rPr>
                <w:rFonts w:ascii="Calibri" w:hAnsi="Calibri"/>
                <w:b/>
                <w:i w:val="0"/>
                <w:color w:val="142B4A"/>
                <w:sz w:val="16"/>
              </w:rPr>
              <w:t>PARTIAL</w:t>
            </w:r>
          </w:p>
        </w:tc>
        <w:tc>
          <w:tcPr>
            <w:tcW w:type="dxa" w:w="4320"/>
            <w:shd w:val="clear" w:color="auto" w:fill="F4F6FA"/>
          </w:tcPr>
          <w:p>
            <w:pPr>
              <w:spacing w:after="0" w:before="0"/>
            </w:pPr>
            <w:r/>
            <w:r>
              <w:rPr>
                <w:rFonts w:ascii="Calibri" w:hAnsi="Calibri"/>
                <w:b w:val="0"/>
                <w:i w:val="0"/>
                <w:sz w:val="16"/>
              </w:rPr>
              <w:t>“The daily dosages of active ingredient can be administered in a once-a-day (QD) dosage or alternatively in a divided dosage, e.g., a twice-a-day (BID) dosage.”</w:t>
            </w:r>
            <w:r>
              <w:rPr>
                <w:rFonts w:ascii="Calibri" w:hAnsi="Calibri"/>
                <w:b w:val="0"/>
                <w:i w:val="0"/>
                <w:color w:val="595959"/>
                <w:sz w:val="16"/>
              </w:rPr>
              <w:t xml:space="preserve"> — Formulations section</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c4.L4.a1</w:t>
            </w:r>
          </w:p>
        </w:tc>
        <w:tc>
          <w:tcPr>
            <w:tcW w:type="dxa" w:w="2016"/>
          </w:tcPr>
          <w:p>
            <w:pPr>
              <w:spacing w:after="0" w:before="0"/>
            </w:pPr>
            <w:r/>
            <w:r>
              <w:rPr>
                <w:rFonts w:ascii="Calibri" w:hAnsi="Calibri"/>
                <w:b/>
                <w:i w:val="0"/>
                <w:color w:val="142B4A"/>
                <w:sz w:val="16"/>
              </w:rPr>
              <w:t>US20050137247A1 (Czeisler et al.)</w:t>
            </w:r>
            <w:r>
              <w:rPr>
                <w:rFonts w:ascii="Calibri" w:hAnsi="Calibri"/>
                <w:b w:val="0"/>
                <w:i w:val="0"/>
                <w:color w:val="595959"/>
                <w:sz w:val="16"/>
              </w:rPr>
              <w:br/>
              <w:t>2005-06-23 · 102(a)(1)</w:t>
            </w:r>
          </w:p>
        </w:tc>
        <w:tc>
          <w:tcPr>
            <w:tcW w:type="dxa" w:w="1440"/>
          </w:tcPr>
          <w:p>
            <w:pPr>
              <w:spacing w:after="0" w:before="0"/>
            </w:pPr>
            <w:r/>
            <w:r>
              <w:rPr>
                <w:rFonts w:ascii="Calibri" w:hAnsi="Calibri"/>
                <w:b/>
                <w:i w:val="0"/>
                <w:color w:val="2E7D32"/>
                <w:sz w:val="16"/>
              </w:rPr>
              <w:t>EXPLICIT · stated outright</w:t>
            </w:r>
          </w:p>
        </w:tc>
        <w:tc>
          <w:tcPr>
            <w:tcW w:type="dxa" w:w="4320"/>
          </w:tcPr>
          <w:p>
            <w:pPr>
              <w:spacing w:after="0" w:before="0"/>
            </w:pPr>
            <w:r/>
            <w:r>
              <w:rPr>
                <w:rFonts w:ascii="Calibri" w:hAnsi="Calibri"/>
                <w:b w:val="0"/>
                <w:i w:val="0"/>
                <w:sz w:val="16"/>
              </w:rPr>
              <w:t>“wherein said melatonin receptor agonist is administered to said subject about 1 hour before the patient's bedtime.”</w:t>
            </w:r>
            <w:r>
              <w:rPr>
                <w:rFonts w:ascii="Calibri" w:hAnsi="Calibri"/>
                <w:b w:val="0"/>
                <w:i w:val="0"/>
                <w:color w:val="595959"/>
                <w:sz w:val="16"/>
              </w:rPr>
              <w:t xml:space="preserve"> — Claim 16</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c4.L4.a1</w:t>
            </w:r>
          </w:p>
        </w:tc>
        <w:tc>
          <w:tcPr>
            <w:tcW w:type="dxa" w:w="2016"/>
            <w:shd w:val="clear" w:color="auto" w:fill="F4F6FA"/>
          </w:tcPr>
          <w:p>
            <w:pPr>
              <w:spacing w:after="0" w:before="0"/>
            </w:pPr>
            <w:r/>
            <w:r>
              <w:rPr>
                <w:rFonts w:ascii="Calibri" w:hAnsi="Calibri"/>
                <w:b/>
                <w:i w:val="0"/>
                <w:color w:val="142B4A"/>
                <w:sz w:val="16"/>
              </w:rPr>
              <w:t>US20080182890A1 (Jochelson et al.)</w:t>
            </w:r>
            <w:r>
              <w:rPr>
                <w:rFonts w:ascii="Calibri" w:hAnsi="Calibri"/>
                <w:b w:val="0"/>
                <w:i w:val="0"/>
                <w:color w:val="595959"/>
                <w:sz w:val="16"/>
              </w:rPr>
              <w:br/>
              <w:t>2008-07-31 · 102(a)(1)</w:t>
            </w:r>
          </w:p>
        </w:tc>
        <w:tc>
          <w:tcPr>
            <w:tcW w:type="dxa" w:w="1440"/>
            <w:shd w:val="clear" w:color="auto" w:fill="F4F6FA"/>
          </w:tcPr>
          <w:p>
            <w:pPr>
              <w:spacing w:after="0" w:before="0"/>
            </w:pPr>
            <w:r/>
            <w:r>
              <w:rPr>
                <w:rFonts w:ascii="Calibri" w:hAnsi="Calibri"/>
                <w:b/>
                <w:i w:val="0"/>
                <w:color w:val="2E7D32"/>
                <w:sz w:val="16"/>
              </w:rPr>
              <w:t>EXPLICIT</w:t>
            </w:r>
          </w:p>
        </w:tc>
        <w:tc>
          <w:tcPr>
            <w:tcW w:type="dxa" w:w="4320"/>
            <w:shd w:val="clear" w:color="auto" w:fill="F4F6FA"/>
          </w:tcPr>
          <w:p>
            <w:pPr>
              <w:spacing w:after="0" w:before="0"/>
            </w:pPr>
            <w:r/>
            <w:r>
              <w:rPr>
                <w:rFonts w:ascii="Calibri" w:hAnsi="Calibri"/>
                <w:b w:val="0"/>
                <w:i w:val="0"/>
                <w:sz w:val="16"/>
              </w:rPr>
              <w:t>“For the treatment of insomnia, preferably one dose is administered prior to bedtime.”</w:t>
            </w:r>
            <w:r>
              <w:rPr>
                <w:rFonts w:ascii="Calibri" w:hAnsi="Calibri"/>
                <w:b w:val="0"/>
                <w:i w:val="0"/>
                <w:color w:val="595959"/>
                <w:sz w:val="16"/>
              </w:rPr>
              <w:t xml:space="preserve"> — Dosage section</w:t>
            </w:r>
          </w:p>
        </w:tc>
        <w:tc>
          <w:tcPr>
            <w:tcW w:type="dxa" w:w="1728"/>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c4.L4.a1</w:t>
            </w:r>
          </w:p>
        </w:tc>
        <w:tc>
          <w:tcPr>
            <w:tcW w:type="dxa" w:w="2016"/>
          </w:tcPr>
          <w:p>
            <w:pPr>
              <w:spacing w:after="0" w:before="0"/>
            </w:pPr>
            <w:r/>
            <w:r>
              <w:rPr>
                <w:rFonts w:ascii="Calibri" w:hAnsi="Calibri"/>
                <w:b/>
                <w:i w:val="0"/>
                <w:color w:val="142B4A"/>
                <w:sz w:val="16"/>
              </w:rPr>
              <w:t>US20040044064A1 (Lewy et al.)</w:t>
            </w:r>
            <w:r>
              <w:rPr>
                <w:rFonts w:ascii="Calibri" w:hAnsi="Calibri"/>
                <w:b w:val="0"/>
                <w:i w:val="0"/>
                <w:color w:val="595959"/>
                <w:sz w:val="16"/>
              </w:rPr>
              <w:br/>
              <w:t>2004-03-04 · 102(a)(1)</w:t>
            </w:r>
          </w:p>
        </w:tc>
        <w:tc>
          <w:tcPr>
            <w:tcW w:type="dxa" w:w="1440"/>
          </w:tcPr>
          <w:p>
            <w:pPr>
              <w:spacing w:after="0" w:before="0"/>
            </w:pPr>
            <w:r/>
            <w:r>
              <w:rPr>
                <w:rFonts w:ascii="Calibri" w:hAnsi="Calibri"/>
                <w:b/>
                <w:i w:val="0"/>
                <w:color w:val="142B4A"/>
                <w:sz w:val="16"/>
              </w:rPr>
              <w:t>PARTIAL</w:t>
            </w:r>
          </w:p>
        </w:tc>
        <w:tc>
          <w:tcPr>
            <w:tcW w:type="dxa" w:w="4320"/>
          </w:tcPr>
          <w:p>
            <w:pPr>
              <w:spacing w:after="0" w:before="0"/>
            </w:pPr>
            <w:r/>
            <w:r>
              <w:rPr>
                <w:rFonts w:ascii="Calibri" w:hAnsi="Calibri"/>
                <w:b w:val="0"/>
                <w:i w:val="0"/>
                <w:sz w:val="16"/>
              </w:rPr>
              <w:t>“the earlier the afternoon rise of exogenous melatonin relative to the endogenous onset, the greater the phase advance observed”</w:t>
            </w:r>
            <w:r>
              <w:rPr>
                <w:rFonts w:ascii="Calibri" w:hAnsi="Calibri"/>
                <w:b w:val="0"/>
                <w:i w:val="0"/>
                <w:color w:val="595959"/>
                <w:sz w:val="16"/>
              </w:rPr>
              <w:t xml:space="preserve"> — Example 3</w:t>
            </w:r>
          </w:p>
        </w:tc>
        <w:tc>
          <w:tcPr>
            <w:tcW w:type="dxa" w:w="1728"/>
          </w:tcPr>
          <w:p>
            <w:pPr>
              <w:spacing w:after="0" w:before="0"/>
            </w:pPr>
            <w:r/>
            <w:r>
              <w:rPr>
                <w:rFonts w:ascii="Calibri" w:hAnsi="Calibri"/>
                <w:b w:val="0"/>
                <w:i w:val="0"/>
                <w:sz w:val="16"/>
              </w:rPr>
              <w:t>in the combination</w:t>
            </w:r>
          </w:p>
        </w:tc>
      </w:tr>
      <w:tr>
        <w:tc>
          <w:tcPr>
            <w:tcW w:type="dxa" w:w="720"/>
            <w:shd w:val="clear" w:color="auto" w:fill="F4F6FA"/>
          </w:tcPr>
          <w:p>
            <w:pPr>
              <w:spacing w:after="0" w:before="0"/>
            </w:pPr>
            <w:r/>
            <w:r>
              <w:rPr>
                <w:rFonts w:ascii="Calibri" w:hAnsi="Calibri"/>
                <w:b w:val="0"/>
                <w:i w:val="0"/>
                <w:sz w:val="16"/>
              </w:rPr>
              <w:t>c4.L4.a1</w:t>
            </w:r>
          </w:p>
        </w:tc>
        <w:tc>
          <w:tcPr>
            <w:tcW w:type="dxa" w:w="2016"/>
            <w:shd w:val="clear" w:color="auto" w:fill="F4F6FA"/>
          </w:tcPr>
          <w:p>
            <w:pPr>
              <w:spacing w:after="0" w:before="0"/>
            </w:pPr>
            <w:r/>
            <w:r>
              <w:rPr>
                <w:rFonts w:ascii="Calibri" w:hAnsi="Calibri"/>
                <w:b/>
                <w:i w:val="0"/>
                <w:color w:val="142B4A"/>
                <w:sz w:val="16"/>
              </w:rPr>
              <w:t>US20100056622A1 (Lauterbach)</w:t>
            </w:r>
            <w:r>
              <w:rPr>
                <w:rFonts w:ascii="Calibri" w:hAnsi="Calibri"/>
                <w:b w:val="0"/>
                <w:i w:val="0"/>
                <w:color w:val="595959"/>
                <w:sz w:val="16"/>
              </w:rPr>
              <w:br/>
              <w:t>2010-03-04 · 102(a)(1)</w:t>
            </w:r>
          </w:p>
        </w:tc>
        <w:tc>
          <w:tcPr>
            <w:tcW w:type="dxa" w:w="1440"/>
            <w:shd w:val="clear" w:color="auto" w:fill="F4F6FA"/>
          </w:tcPr>
          <w:p>
            <w:pPr>
              <w:spacing w:after="0" w:before="0"/>
            </w:pPr>
            <w:r/>
            <w:r>
              <w:rPr>
                <w:rFonts w:ascii="Calibri" w:hAnsi="Calibri"/>
                <w:b/>
                <w:i w:val="0"/>
                <w:color w:val="142B4A"/>
                <w:sz w:val="16"/>
              </w:rPr>
              <w:t>PARTIAL</w:t>
            </w:r>
          </w:p>
        </w:tc>
        <w:tc>
          <w:tcPr>
            <w:tcW w:type="dxa" w:w="4320"/>
            <w:shd w:val="clear" w:color="auto" w:fill="F4F6FA"/>
          </w:tcPr>
          <w:p>
            <w:pPr>
              <w:spacing w:after="0" w:before="0"/>
            </w:pPr>
            <w:r/>
            <w:r>
              <w:rPr>
                <w:rFonts w:ascii="Calibri" w:hAnsi="Calibri"/>
                <w:b w:val="0"/>
                <w:i w:val="0"/>
                <w:sz w:val="16"/>
              </w:rPr>
              <w:t>“Ramelteon was administered beginning at 8 mg at bedtime”</w:t>
            </w:r>
            <w:r>
              <w:rPr>
                <w:rFonts w:ascii="Calibri" w:hAnsi="Calibri"/>
                <w:b w:val="0"/>
                <w:i w:val="0"/>
                <w:color w:val="595959"/>
                <w:sz w:val="16"/>
              </w:rPr>
              <w:t xml:space="preserve"> — Example 1</w:t>
            </w:r>
          </w:p>
        </w:tc>
        <w:tc>
          <w:tcPr>
            <w:tcW w:type="dxa" w:w="1728"/>
            <w:shd w:val="clear" w:color="auto" w:fill="F4F6FA"/>
          </w:tcPr>
          <w:p>
            <w:pPr>
              <w:spacing w:after="0" w:before="0"/>
            </w:pPr>
            <w:r/>
            <w:r>
              <w:rPr>
                <w:rFonts w:ascii="Calibri" w:hAnsi="Calibri"/>
                <w:b w:val="0"/>
                <w:i w:val="0"/>
                <w:sz w:val="16"/>
              </w:rPr>
              <w:t>in the combination</w:t>
            </w:r>
          </w:p>
        </w:tc>
      </w:tr>
      <w:tr>
        <w:tc>
          <w:tcPr>
            <w:tcW w:type="dxa" w:w="720"/>
          </w:tcPr>
          <w:p>
            <w:pPr>
              <w:spacing w:after="0" w:before="0"/>
            </w:pPr>
            <w:r/>
            <w:r>
              <w:rPr>
                <w:rFonts w:ascii="Calibri" w:hAnsi="Calibri"/>
                <w:b w:val="0"/>
                <w:i w:val="0"/>
                <w:sz w:val="16"/>
              </w:rPr>
              <w:t>c4.L4.a1</w:t>
            </w:r>
          </w:p>
        </w:tc>
        <w:tc>
          <w:tcPr>
            <w:tcW w:type="dxa" w:w="2016"/>
          </w:tcPr>
          <w:p>
            <w:pPr>
              <w:spacing w:after="0" w:before="0"/>
            </w:pPr>
            <w:r/>
            <w:r>
              <w:rPr>
                <w:rFonts w:ascii="Calibri" w:hAnsi="Calibri"/>
                <w:b/>
                <w:i w:val="0"/>
                <w:color w:val="142B4A"/>
                <w:sz w:val="16"/>
              </w:rPr>
              <w:t>US20030008912A1 (Lewy et al.)</w:t>
            </w:r>
            <w:r>
              <w:rPr>
                <w:rFonts w:ascii="Calibri" w:hAnsi="Calibri"/>
                <w:b w:val="0"/>
                <w:i w:val="0"/>
                <w:color w:val="595959"/>
                <w:sz w:val="16"/>
              </w:rPr>
              <w:br/>
              <w:t>2003-01-09 · 102(a)(1)</w:t>
            </w:r>
          </w:p>
        </w:tc>
        <w:tc>
          <w:tcPr>
            <w:tcW w:type="dxa" w:w="1440"/>
          </w:tcPr>
          <w:p>
            <w:pPr>
              <w:spacing w:after="0" w:before="0"/>
            </w:pPr>
            <w:r/>
            <w:r>
              <w:rPr>
                <w:rFonts w:ascii="Calibri" w:hAnsi="Calibri"/>
                <w:b/>
                <w:i w:val="0"/>
                <w:color w:val="142B4A"/>
                <w:sz w:val="16"/>
              </w:rPr>
              <w:t>PARTIAL</w:t>
            </w:r>
          </w:p>
        </w:tc>
        <w:tc>
          <w:tcPr>
            <w:tcW w:type="dxa" w:w="4320"/>
          </w:tcPr>
          <w:p>
            <w:pPr>
              <w:spacing w:after="0" w:before="0"/>
            </w:pPr>
            <w:r/>
            <w:r>
              <w:rPr>
                <w:rFonts w:ascii="Calibri" w:hAnsi="Calibri"/>
                <w:b w:val="0"/>
                <w:i w:val="0"/>
                <w:sz w:val="16"/>
              </w:rPr>
              <w:t>“Arendt et al., 1987, Ergonomics 30: 1379-1393 disclose the administration of melatonin to alleviate jet lag by oral administration of exogenous melatonin 4 to 6 hours prior to the human's normal bedtime”</w:t>
            </w:r>
            <w:r>
              <w:rPr>
                <w:rFonts w:ascii="Calibri" w:hAnsi="Calibri"/>
                <w:b w:val="0"/>
                <w:i w:val="0"/>
                <w:color w:val="595959"/>
                <w:sz w:val="16"/>
              </w:rPr>
              <w:t xml:space="preserve"> — Background section</w:t>
            </w:r>
          </w:p>
        </w:tc>
        <w:tc>
          <w:tcPr>
            <w:tcW w:type="dxa" w:w="1728"/>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c4.L4.a1</w:t>
            </w:r>
          </w:p>
        </w:tc>
        <w:tc>
          <w:tcPr>
            <w:tcW w:type="dxa" w:w="2016"/>
            <w:shd w:val="clear" w:color="auto" w:fill="F4F6FA"/>
          </w:tcPr>
          <w:p>
            <w:pPr>
              <w:spacing w:after="0" w:before="0"/>
            </w:pPr>
            <w:r/>
            <w:r>
              <w:rPr>
                <w:rFonts w:ascii="Calibri" w:hAnsi="Calibri"/>
                <w:b/>
                <w:i w:val="0"/>
                <w:color w:val="142B4A"/>
                <w:sz w:val="16"/>
              </w:rPr>
              <w:t>US20060039866A1 (Rao et al.)</w:t>
            </w:r>
            <w:r>
              <w:rPr>
                <w:rFonts w:ascii="Calibri" w:hAnsi="Calibri"/>
                <w:b w:val="0"/>
                <w:i w:val="0"/>
                <w:color w:val="595959"/>
                <w:sz w:val="16"/>
              </w:rPr>
              <w:br/>
              <w:t>2006-02-23 · 102(a)(1)</w:t>
            </w:r>
          </w:p>
        </w:tc>
        <w:tc>
          <w:tcPr>
            <w:tcW w:type="dxa" w:w="1440"/>
            <w:shd w:val="clear" w:color="auto" w:fill="F4F6FA"/>
          </w:tcPr>
          <w:p>
            <w:pPr>
              <w:spacing w:after="0" w:before="0"/>
            </w:pPr>
            <w:r/>
            <w:r>
              <w:rPr>
                <w:rFonts w:ascii="Calibri" w:hAnsi="Calibri"/>
                <w:b/>
                <w:i w:val="0"/>
                <w:color w:val="142B4A"/>
                <w:sz w:val="16"/>
              </w:rPr>
              <w:t>PARTIAL</w:t>
            </w:r>
          </w:p>
        </w:tc>
        <w:tc>
          <w:tcPr>
            <w:tcW w:type="dxa" w:w="4320"/>
            <w:shd w:val="clear" w:color="auto" w:fill="F4F6FA"/>
          </w:tcPr>
          <w:p>
            <w:pPr>
              <w:spacing w:after="0" w:before="0"/>
            </w:pPr>
            <w:r/>
            <w:r>
              <w:rPr>
                <w:rFonts w:ascii="Calibri" w:hAnsi="Calibri"/>
                <w:b w:val="0"/>
                <w:i w:val="0"/>
                <w:sz w:val="16"/>
              </w:rPr>
              <w:t>“The combination may be administered before bed time which requires immediate release of mirtazapine for adequate treatment of sleep related breathing disorders throughout the night.”</w:t>
            </w:r>
            <w:r>
              <w:rPr>
                <w:rFonts w:ascii="Calibri" w:hAnsi="Calibri"/>
                <w:b w:val="0"/>
                <w:i w:val="0"/>
                <w:color w:val="595959"/>
                <w:sz w:val="16"/>
              </w:rPr>
              <w:t xml:space="preserve"> — D. Formulations</w:t>
            </w:r>
          </w:p>
        </w:tc>
        <w:tc>
          <w:tcPr>
            <w:tcW w:type="dxa" w:w="1728"/>
            <w:shd w:val="clear" w:color="auto" w:fill="F4F6FA"/>
          </w:tcPr>
          <w:p>
            <w:pPr>
              <w:spacing w:after="0" w:before="0"/>
            </w:pPr>
            <w:r/>
            <w:r>
              <w:rPr>
                <w:rFonts w:ascii="Calibri" w:hAnsi="Calibri"/>
                <w:b w:val="0"/>
                <w:i w:val="0"/>
                <w:sz w:val="16"/>
              </w:rPr>
              <w:t>supporting (not needed for the combination)</w:t>
            </w:r>
          </w:p>
        </w:tc>
      </w:tr>
    </w:tbl>
    <w:p>
      <w:pPr>
        <w:spacing w:after="40" w:before="0"/>
      </w:pPr>
    </w:p>
    <w:p>
      <w:pPr>
        <w:keepNext/>
        <w:spacing w:before="120" w:after="40"/>
      </w:pPr>
      <w:r>
        <w:rPr>
          <w:rFonts w:ascii="Calibri Light" w:hAnsi="Calibri Light"/>
          <w:b/>
          <w:i w:val="0"/>
          <w:color w:val="142B4A"/>
          <w:sz w:val="23"/>
        </w:rPr>
        <w:t>03b · Papers and labels on file, by limitation</w:t>
      </w:r>
    </w:p>
    <w:p>
      <w:pPr>
        <w:spacing w:after="80" w:before="0"/>
      </w:pPr>
      <w:r>
        <w:rPr>
          <w:rFonts w:ascii="Calibri" w:hAnsi="Calibri"/>
          <w:b w:val="0"/>
          <w:i w:val="0"/>
          <w:sz w:val="18"/>
        </w:rPr>
        <w:t>Every eligible pre-priority paper or dated drug label graded on this run that covers a limitation (PARTIAL or better, or a sound inference; quote verified against the text it was read on), strongest first, up to six per limitation. These are the alternates an examiner could cite in place of the combination's members.</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720"/>
            <w:shd w:val="clear" w:color="auto" w:fill="142B4A"/>
          </w:tcPr>
          <w:p>
            <w:pPr>
              <w:spacing w:after="0" w:before="0"/>
            </w:pPr>
            <w:r/>
            <w:r>
              <w:rPr>
                <w:rFonts w:ascii="Calibri" w:hAnsi="Calibri"/>
                <w:b/>
                <w:i w:val="0"/>
                <w:color w:val="C9A227"/>
                <w:sz w:val="15"/>
              </w:rPr>
              <w:t>LIM.</w:t>
            </w:r>
          </w:p>
        </w:tc>
        <w:tc>
          <w:tcPr>
            <w:tcW w:type="dxa" w:w="2592"/>
            <w:shd w:val="clear" w:color="auto" w:fill="142B4A"/>
          </w:tcPr>
          <w:p>
            <w:pPr>
              <w:spacing w:after="0" w:before="0"/>
            </w:pPr>
            <w:r/>
            <w:r>
              <w:rPr>
                <w:rFonts w:ascii="Calibri" w:hAnsi="Calibri"/>
                <w:b/>
                <w:i w:val="0"/>
                <w:color w:val="C9A227"/>
                <w:sz w:val="15"/>
              </w:rPr>
              <w:t>PAPER · DATE · TEXT READ</w:t>
            </w:r>
          </w:p>
        </w:tc>
        <w:tc>
          <w:tcPr>
            <w:tcW w:type="dxa" w:w="1296"/>
            <w:shd w:val="clear" w:color="auto" w:fill="142B4A"/>
          </w:tcPr>
          <w:p>
            <w:pPr>
              <w:spacing w:after="0" w:before="0"/>
            </w:pPr>
            <w:r/>
            <w:r>
              <w:rPr>
                <w:rFonts w:ascii="Calibri" w:hAnsi="Calibri"/>
                <w:b/>
                <w:i w:val="0"/>
                <w:color w:val="C9A227"/>
                <w:sz w:val="15"/>
              </w:rPr>
              <w:t>GRADE</w:t>
            </w:r>
          </w:p>
        </w:tc>
        <w:tc>
          <w:tcPr>
            <w:tcW w:type="dxa" w:w="4032"/>
            <w:shd w:val="clear" w:color="auto" w:fill="142B4A"/>
          </w:tcPr>
          <w:p>
            <w:pPr>
              <w:spacing w:after="0" w:before="0"/>
            </w:pPr>
            <w:r/>
            <w:r>
              <w:rPr>
                <w:rFonts w:ascii="Calibri" w:hAnsi="Calibri"/>
                <w:b/>
                <w:i w:val="0"/>
                <w:color w:val="C9A227"/>
                <w:sz w:val="15"/>
              </w:rPr>
              <w:t>DISCLOSURE (VERBATIM)</w:t>
            </w:r>
          </w:p>
        </w:tc>
        <w:tc>
          <w:tcPr>
            <w:tcW w:type="dxa" w:w="1584"/>
            <w:shd w:val="clear" w:color="auto" w:fill="142B4A"/>
          </w:tcPr>
          <w:p>
            <w:pPr>
              <w:spacing w:after="0" w:before="0"/>
            </w:pPr>
            <w:r/>
            <w:r>
              <w:rPr>
                <w:rFonts w:ascii="Calibri" w:hAnsi="Calibri"/>
                <w:b/>
                <w:i w:val="0"/>
                <w:color w:val="C9A227"/>
                <w:sz w:val="15"/>
              </w:rPr>
              <w:t>ROLE</w:t>
            </w:r>
          </w:p>
        </w:tc>
      </w:tr>
      <w:tr>
        <w:tc>
          <w:tcPr>
            <w:tcW w:type="dxa" w:w="720"/>
          </w:tcPr>
          <w:p>
            <w:pPr>
              <w:spacing w:after="0" w:before="0"/>
            </w:pPr>
            <w:r/>
            <w:r>
              <w:rPr>
                <w:rFonts w:ascii="Calibri" w:hAnsi="Calibri"/>
                <w:b w:val="0"/>
                <w:i w:val="0"/>
                <w:sz w:val="16"/>
              </w:rPr>
              <w:t>c1.L1.a1</w:t>
            </w:r>
          </w:p>
        </w:tc>
        <w:tc>
          <w:tcPr>
            <w:tcW w:type="dxa" w:w="2592"/>
          </w:tcPr>
          <w:p>
            <w:pPr>
              <w:spacing w:after="0" w:before="0"/>
            </w:pPr>
            <w:r/>
            <w:r>
              <w:rPr>
                <w:rFonts w:ascii="Calibri" w:hAnsi="Calibri"/>
                <w:b/>
                <w:i w:val="0"/>
                <w:color w:val="142B4A"/>
                <w:sz w:val="16"/>
              </w:rPr>
              <w:t>PMID:19054552</w:t>
            </w:r>
            <w:r>
              <w:rPr>
                <w:rFonts w:ascii="Calibri" w:hAnsi="Calibri"/>
                <w:b w:val="0"/>
                <w:i w:val="0"/>
                <w:color w:val="595959"/>
                <w:sz w:val="16"/>
              </w:rPr>
              <w:t xml:space="preserve">  Rajaratnam et al.</w:t>
            </w:r>
            <w:r>
              <w:rPr>
                <w:rFonts w:ascii="Calibri" w:hAnsi="Calibri"/>
                <w:b w:val="0"/>
                <w:i w:val="0"/>
                <w:sz w:val="16"/>
              </w:rPr>
              <w:br/>
              <w:t>Melatonin agonist tasimelteon (VEC-162) for transient insomnia after sleep-time shift:…</w:t>
            </w:r>
            <w:r>
              <w:rPr>
                <w:rFonts w:ascii="Calibri" w:hAnsi="Calibri"/>
                <w:b w:val="0"/>
                <w:i w:val="0"/>
                <w:color w:val="595959"/>
                <w:sz w:val="16"/>
              </w:rPr>
              <w:br/>
              <w:t>2008-12-04 · read on abstract</w:t>
            </w:r>
          </w:p>
        </w:tc>
        <w:tc>
          <w:tcPr>
            <w:tcW w:type="dxa" w:w="1296"/>
          </w:tcPr>
          <w:p>
            <w:pPr>
              <w:spacing w:after="0" w:before="0"/>
            </w:pPr>
            <w:r/>
            <w:r>
              <w:rPr>
                <w:rFonts w:ascii="Calibri" w:hAnsi="Calibri"/>
                <w:b/>
                <w:i w:val="0"/>
                <w:color w:val="142B4A"/>
                <w:sz w:val="16"/>
              </w:rPr>
              <w:t>PARTIAL</w:t>
            </w:r>
          </w:p>
        </w:tc>
        <w:tc>
          <w:tcPr>
            <w:tcW w:type="dxa" w:w="4032"/>
          </w:tcPr>
          <w:p>
            <w:pPr>
              <w:spacing w:after="0" w:before="0"/>
            </w:pPr>
            <w:r/>
            <w:r>
              <w:rPr>
                <w:rFonts w:ascii="Calibri" w:hAnsi="Calibri"/>
                <w:b w:val="0"/>
                <w:i w:val="0"/>
                <w:sz w:val="16"/>
              </w:rPr>
              <w:t>“Circadian rhythm sleep disorders are common causes of insomnia for millions of individuals.”</w:t>
            </w:r>
            <w:r>
              <w:rPr>
                <w:rFonts w:ascii="Calibri" w:hAnsi="Calibri"/>
                <w:b w:val="0"/>
                <w:i w:val="0"/>
                <w:color w:val="595959"/>
                <w:sz w:val="16"/>
              </w:rPr>
              <w:t xml:space="preserve"> — Background</w:t>
            </w:r>
          </w:p>
        </w:tc>
        <w:tc>
          <w:tcPr>
            <w:tcW w:type="dxa" w:w="1584"/>
          </w:tcPr>
          <w:p>
            <w:pPr>
              <w:spacing w:after="0" w:before="0"/>
            </w:pPr>
            <w:r/>
            <w:r>
              <w:rPr>
                <w:rFonts w:ascii="Calibri" w:hAnsi="Calibri"/>
                <w:b w:val="0"/>
                <w:i w:val="0"/>
                <w:sz w:val="16"/>
              </w:rPr>
              <w:t>alternative 2</w:t>
            </w:r>
          </w:p>
        </w:tc>
      </w:tr>
      <w:tr>
        <w:tc>
          <w:tcPr>
            <w:tcW w:type="dxa" w:w="720"/>
            <w:shd w:val="clear" w:color="auto" w:fill="F4F6FA"/>
          </w:tcPr>
          <w:p>
            <w:pPr>
              <w:spacing w:after="0" w:before="0"/>
            </w:pPr>
            <w:r/>
            <w:r>
              <w:rPr>
                <w:rFonts w:ascii="Calibri" w:hAnsi="Calibri"/>
                <w:b w:val="0"/>
                <w:i w:val="0"/>
                <w:sz w:val="16"/>
              </w:rPr>
              <w:t>c1.L1.a1</w:t>
            </w:r>
          </w:p>
        </w:tc>
        <w:tc>
          <w:tcPr>
            <w:tcW w:type="dxa" w:w="2592"/>
            <w:shd w:val="clear" w:color="auto" w:fill="F4F6FA"/>
          </w:tcPr>
          <w:p>
            <w:pPr>
              <w:spacing w:after="0" w:before="0"/>
            </w:pPr>
            <w:r/>
            <w:r>
              <w:rPr>
                <w:rFonts w:ascii="Calibri" w:hAnsi="Calibri"/>
                <w:b/>
                <w:i w:val="0"/>
                <w:color w:val="142B4A"/>
                <w:sz w:val="16"/>
              </w:rPr>
              <w:t>NCT:NCT01430754 (ClinicalTrials.gov 2011)</w:t>
            </w:r>
            <w:r>
              <w:rPr>
                <w:rFonts w:ascii="Calibri" w:hAnsi="Calibri"/>
                <w:b w:val="0"/>
                <w:i w:val="0"/>
                <w:color w:val="595959"/>
                <w:sz w:val="16"/>
              </w:rPr>
            </w:r>
            <w:r>
              <w:rPr>
                <w:rFonts w:ascii="Calibri" w:hAnsi="Calibri"/>
                <w:b w:val="0"/>
                <w:i w:val="0"/>
                <w:sz w:val="16"/>
              </w:rPr>
              <w:br/>
              <w:t>Withdrawal Study to Demonstrate the Maintenance Effect in the Treatment of Non-24-Hour…</w:t>
            </w:r>
            <w:r>
              <w:rPr>
                <w:rFonts w:ascii="Calibri" w:hAnsi="Calibri"/>
                <w:b w:val="0"/>
                <w:i w:val="0"/>
                <w:color w:val="595959"/>
                <w:sz w:val="16"/>
              </w:rPr>
              <w:br/>
              <w:t>2011-09-08 · read on abstract</w:t>
            </w:r>
          </w:p>
        </w:tc>
        <w:tc>
          <w:tcPr>
            <w:tcW w:type="dxa" w:w="1296"/>
            <w:shd w:val="clear" w:color="auto" w:fill="F4F6FA"/>
          </w:tcPr>
          <w:p>
            <w:pPr>
              <w:spacing w:after="0" w:before="0"/>
            </w:pPr>
            <w:r/>
            <w:r>
              <w:rPr>
                <w:rFonts w:ascii="Calibri" w:hAnsi="Calibri"/>
                <w:b/>
                <w:i w:val="0"/>
                <w:color w:val="142B4A"/>
                <w:sz w:val="16"/>
              </w:rPr>
              <w:t>PARTIAL</w:t>
            </w:r>
          </w:p>
        </w:tc>
        <w:tc>
          <w:tcPr>
            <w:tcW w:type="dxa" w:w="4032"/>
            <w:shd w:val="clear" w:color="auto" w:fill="F4F6FA"/>
          </w:tcPr>
          <w:p>
            <w:pPr>
              <w:spacing w:after="0" w:before="0"/>
            </w:pPr>
            <w:r/>
            <w:r>
              <w:rPr>
                <w:rFonts w:ascii="Calibri" w:hAnsi="Calibri"/>
                <w:b w:val="0"/>
                <w:i w:val="0"/>
                <w:sz w:val="16"/>
              </w:rPr>
              <w:t>“Non-24-Hour Sleep-Wake Disorder (N24HSWD) occurs when individuals are unable to synchronize their endogenous circadian pacemaker to the 24-hour light-dark cycle”</w:t>
            </w:r>
            <w:r>
              <w:rPr>
                <w:rFonts w:ascii="Calibri" w:hAnsi="Calibri"/>
                <w:b w:val="0"/>
                <w:i w:val="0"/>
                <w:color w:val="595959"/>
                <w:sz w:val="16"/>
              </w:rPr>
              <w:t xml:space="preserve"> — study description</w:t>
            </w:r>
          </w:p>
        </w:tc>
        <w:tc>
          <w:tcPr>
            <w:tcW w:type="dxa" w:w="1584"/>
            <w:shd w:val="clear" w:color="auto" w:fill="F4F6FA"/>
          </w:tcPr>
          <w:p>
            <w:pPr>
              <w:spacing w:after="0" w:before="0"/>
            </w:pPr>
            <w:r/>
            <w:r>
              <w:rPr>
                <w:rFonts w:ascii="Calibri" w:hAnsi="Calibri"/>
                <w:b w:val="0"/>
                <w:i w:val="0"/>
                <w:sz w:val="16"/>
              </w:rPr>
              <w:t>alternative 1</w:t>
            </w:r>
          </w:p>
        </w:tc>
      </w:tr>
      <w:tr>
        <w:tc>
          <w:tcPr>
            <w:tcW w:type="dxa" w:w="720"/>
          </w:tcPr>
          <w:p>
            <w:pPr>
              <w:spacing w:after="0" w:before="0"/>
            </w:pPr>
            <w:r/>
            <w:r>
              <w:rPr>
                <w:rFonts w:ascii="Calibri" w:hAnsi="Calibri"/>
                <w:b w:val="0"/>
                <w:i w:val="0"/>
                <w:sz w:val="16"/>
              </w:rPr>
              <w:t>c1.L1.a1</w:t>
            </w:r>
          </w:p>
        </w:tc>
        <w:tc>
          <w:tcPr>
            <w:tcW w:type="dxa" w:w="2592"/>
          </w:tcPr>
          <w:p>
            <w:pPr>
              <w:spacing w:after="0" w:before="0"/>
            </w:pPr>
            <w:r/>
            <w:r>
              <w:rPr>
                <w:rFonts w:ascii="Calibri" w:hAnsi="Calibri"/>
                <w:b/>
                <w:i w:val="0"/>
                <w:color w:val="142B4A"/>
                <w:sz w:val="16"/>
              </w:rPr>
              <w:t>PMID:12530986</w:t>
            </w:r>
            <w:r>
              <w:rPr>
                <w:rFonts w:ascii="Calibri" w:hAnsi="Calibri"/>
                <w:b w:val="0"/>
                <w:i w:val="0"/>
                <w:color w:val="595959"/>
                <w:sz w:val="16"/>
              </w:rPr>
              <w:t xml:space="preserve">  Sack et al.</w:t>
            </w:r>
            <w:r>
              <w:rPr>
                <w:rFonts w:ascii="Calibri" w:hAnsi="Calibri"/>
                <w:b w:val="0"/>
                <w:i w:val="0"/>
                <w:sz w:val="16"/>
              </w:rPr>
              <w:br/>
              <w:t>Circadian rhythm sleep disorders: lessons from the blind</w:t>
            </w:r>
            <w:r>
              <w:rPr>
                <w:rFonts w:ascii="Calibri" w:hAnsi="Calibri"/>
                <w:b w:val="0"/>
                <w:i w:val="0"/>
                <w:color w:val="595959"/>
                <w:sz w:val="16"/>
              </w:rPr>
              <w:br/>
              <w:t>2001-12-31 · read on abstract</w:t>
            </w:r>
          </w:p>
        </w:tc>
        <w:tc>
          <w:tcPr>
            <w:tcW w:type="dxa" w:w="1296"/>
          </w:tcPr>
          <w:p>
            <w:pPr>
              <w:spacing w:after="0" w:before="0"/>
            </w:pPr>
            <w:r/>
            <w:r>
              <w:rPr>
                <w:rFonts w:ascii="Calibri" w:hAnsi="Calibri"/>
                <w:b/>
                <w:i w:val="0"/>
                <w:color w:val="142B4A"/>
                <w:sz w:val="16"/>
              </w:rPr>
              <w:t>PARTIAL</w:t>
            </w:r>
          </w:p>
        </w:tc>
        <w:tc>
          <w:tcPr>
            <w:tcW w:type="dxa" w:w="4032"/>
          </w:tcPr>
          <w:p>
            <w:pPr>
              <w:spacing w:after="0" w:before="0"/>
            </w:pPr>
            <w:r/>
            <w:r>
              <w:rPr>
                <w:rFonts w:ascii="Calibri" w:hAnsi="Calibri"/>
                <w:b w:val="0"/>
                <w:i w:val="0"/>
                <w:sz w:val="16"/>
              </w:rPr>
              <w:t>“Circadian rhythm sleep disorders: lessons from the blind.”</w:t>
            </w:r>
            <w:r>
              <w:rPr>
                <w:rFonts w:ascii="Calibri" w:hAnsi="Calibri"/>
                <w:b w:val="0"/>
                <w:i w:val="0"/>
                <w:color w:val="595959"/>
                <w:sz w:val="16"/>
              </w:rPr>
              <w:t xml:space="preserve"> — title</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c1.L1.a1</w:t>
            </w:r>
          </w:p>
        </w:tc>
        <w:tc>
          <w:tcPr>
            <w:tcW w:type="dxa" w:w="2592"/>
            <w:shd w:val="clear" w:color="auto" w:fill="F4F6FA"/>
          </w:tcPr>
          <w:p>
            <w:pPr>
              <w:spacing w:after="0" w:before="0"/>
            </w:pPr>
            <w:r/>
            <w:r>
              <w:rPr>
                <w:rFonts w:ascii="Calibri" w:hAnsi="Calibri"/>
                <w:b/>
                <w:i w:val="0"/>
                <w:color w:val="142B4A"/>
                <w:sz w:val="16"/>
              </w:rPr>
              <w:t>NCT:NCT00490945 (ClinicalTrials.gov 2004)</w:t>
            </w:r>
            <w:r>
              <w:rPr>
                <w:rFonts w:ascii="Calibri" w:hAnsi="Calibri"/>
                <w:b w:val="0"/>
                <w:i w:val="0"/>
                <w:color w:val="595959"/>
                <w:sz w:val="16"/>
              </w:rPr>
            </w:r>
            <w:r>
              <w:rPr>
                <w:rFonts w:ascii="Calibri" w:hAnsi="Calibri"/>
                <w:b w:val="0"/>
                <w:i w:val="0"/>
                <w:sz w:val="16"/>
              </w:rPr>
              <w:br/>
              <w:t>Safety and Efficacy of VEC-162 on Circadian Rhythm in Healthy Adult Volunteers</w:t>
            </w:r>
            <w:r>
              <w:rPr>
                <w:rFonts w:ascii="Calibri" w:hAnsi="Calibri"/>
                <w:b w:val="0"/>
                <w:i w:val="0"/>
                <w:color w:val="595959"/>
                <w:sz w:val="16"/>
              </w:rPr>
              <w:br/>
              <w:t>2007-06-25 · read on abstract</w:t>
            </w:r>
          </w:p>
        </w:tc>
        <w:tc>
          <w:tcPr>
            <w:tcW w:type="dxa" w:w="1296"/>
            <w:shd w:val="clear" w:color="auto" w:fill="F4F6FA"/>
          </w:tcPr>
          <w:p>
            <w:pPr>
              <w:spacing w:after="0" w:before="0"/>
            </w:pPr>
            <w:r/>
            <w:r>
              <w:rPr>
                <w:rFonts w:ascii="Calibri" w:hAnsi="Calibri"/>
                <w:b/>
                <w:i w:val="0"/>
                <w:color w:val="142B4A"/>
                <w:sz w:val="16"/>
              </w:rPr>
              <w:t>PARTIAL</w:t>
            </w:r>
          </w:p>
        </w:tc>
        <w:tc>
          <w:tcPr>
            <w:tcW w:type="dxa" w:w="4032"/>
            <w:shd w:val="clear" w:color="auto" w:fill="F4F6FA"/>
          </w:tcPr>
          <w:p>
            <w:pPr>
              <w:spacing w:after="0" w:before="0"/>
            </w:pPr>
            <w:r/>
            <w:r>
              <w:rPr>
                <w:rFonts w:ascii="Calibri" w:hAnsi="Calibri"/>
                <w:b w:val="0"/>
                <w:i w:val="0"/>
                <w:sz w:val="16"/>
              </w:rPr>
              <w:t>“A Randomized, Double-blind, Placebo-controlled, Multi-center Study of the Effects of VEC-162 on Circadian Rhythm in Healthy Subjects”</w:t>
            </w:r>
            <w:r>
              <w:rPr>
                <w:rFonts w:ascii="Calibri" w:hAnsi="Calibri"/>
                <w:b w:val="0"/>
                <w:i w:val="0"/>
                <w:color w:val="595959"/>
                <w:sz w:val="16"/>
              </w:rPr>
              <w:t xml:space="preserve"> — title</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c1.L1.a1</w:t>
            </w:r>
          </w:p>
        </w:tc>
        <w:tc>
          <w:tcPr>
            <w:tcW w:type="dxa" w:w="2592"/>
          </w:tcPr>
          <w:p>
            <w:pPr>
              <w:spacing w:after="0" w:before="0"/>
            </w:pPr>
            <w:r/>
            <w:r>
              <w:rPr>
                <w:rFonts w:ascii="Calibri" w:hAnsi="Calibri"/>
                <w:b/>
                <w:i w:val="0"/>
                <w:color w:val="142B4A"/>
                <w:sz w:val="16"/>
              </w:rPr>
              <w:t>PMID:17969867</w:t>
            </w:r>
            <w:r>
              <w:rPr>
                <w:rFonts w:ascii="Calibri" w:hAnsi="Calibri"/>
                <w:b w:val="0"/>
                <w:i w:val="0"/>
                <w:color w:val="595959"/>
                <w:sz w:val="16"/>
              </w:rPr>
              <w:t xml:space="preserve">  Lockley et al.</w:t>
            </w:r>
            <w:r>
              <w:rPr>
                <w:rFonts w:ascii="Calibri" w:hAnsi="Calibri"/>
                <w:b w:val="0"/>
                <w:i w:val="0"/>
                <w:sz w:val="16"/>
              </w:rPr>
              <w:br/>
              <w:t>Visual impairment and circadian rhythm disorders.</w:t>
            </w:r>
            <w:r>
              <w:rPr>
                <w:rFonts w:ascii="Calibri" w:hAnsi="Calibri"/>
                <w:b w:val="0"/>
                <w:i w:val="0"/>
                <w:color w:val="595959"/>
                <w:sz w:val="16"/>
              </w:rPr>
              <w:br/>
              <w:t>2007-12-31 · read on full text</w:t>
            </w:r>
          </w:p>
        </w:tc>
        <w:tc>
          <w:tcPr>
            <w:tcW w:type="dxa" w:w="1296"/>
          </w:tcPr>
          <w:p>
            <w:pPr>
              <w:spacing w:after="0" w:before="0"/>
            </w:pPr>
            <w:r/>
            <w:r>
              <w:rPr>
                <w:rFonts w:ascii="Calibri" w:hAnsi="Calibri"/>
                <w:b/>
                <w:i w:val="0"/>
                <w:color w:val="142B4A"/>
                <w:sz w:val="16"/>
              </w:rPr>
              <w:t>PARTIAL</w:t>
            </w:r>
          </w:p>
        </w:tc>
        <w:tc>
          <w:tcPr>
            <w:tcW w:type="dxa" w:w="4032"/>
          </w:tcPr>
          <w:p>
            <w:pPr>
              <w:spacing w:after="0" w:before="0"/>
            </w:pPr>
            <w:r/>
            <w:r>
              <w:rPr>
                <w:rFonts w:ascii="Calibri" w:hAnsi="Calibri"/>
                <w:b w:val="0"/>
                <w:i w:val="0"/>
                <w:sz w:val="16"/>
              </w:rPr>
              <w:t>“Melatonin administration has also been explored for treatment of abnormal entrained phase disorders in the blind, as well as sighted populations”</w:t>
            </w:r>
            <w:r>
              <w:rPr>
                <w:rFonts w:ascii="Calibri" w:hAnsi="Calibri"/>
                <w:b w:val="0"/>
                <w:i w:val="0"/>
                <w:color w:val="595959"/>
                <w:sz w:val="16"/>
              </w:rPr>
              <w:t xml:space="preserve"> — Treatment section</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c1.L1.a1</w:t>
            </w:r>
          </w:p>
        </w:tc>
        <w:tc>
          <w:tcPr>
            <w:tcW w:type="dxa" w:w="2592"/>
            <w:shd w:val="clear" w:color="auto" w:fill="F4F6FA"/>
          </w:tcPr>
          <w:p>
            <w:pPr>
              <w:spacing w:after="0" w:before="0"/>
            </w:pPr>
            <w:r/>
            <w:r>
              <w:rPr>
                <w:rFonts w:ascii="Calibri" w:hAnsi="Calibri"/>
                <w:b/>
                <w:i w:val="0"/>
                <w:color w:val="142B4A"/>
                <w:sz w:val="16"/>
              </w:rPr>
              <w:t>PMID:18041481</w:t>
            </w:r>
            <w:r>
              <w:rPr>
                <w:rFonts w:ascii="Calibri" w:hAnsi="Calibri"/>
                <w:b w:val="0"/>
                <w:i w:val="0"/>
                <w:color w:val="595959"/>
                <w:sz w:val="16"/>
              </w:rPr>
              <w:t xml:space="preserve">  Sack et al.</w:t>
            </w:r>
            <w:r>
              <w:rPr>
                <w:rFonts w:ascii="Calibri" w:hAnsi="Calibri"/>
                <w:b w:val="0"/>
                <w:i w:val="0"/>
                <w:sz w:val="16"/>
              </w:rPr>
              <w:br/>
              <w:t>Circadian rhythm sleep disorders: part II, advanced sleep phase disorder, delayed sleep…</w:t>
            </w:r>
            <w:r>
              <w:rPr>
                <w:rFonts w:ascii="Calibri" w:hAnsi="Calibri"/>
                <w:b w:val="0"/>
                <w:i w:val="0"/>
                <w:color w:val="595959"/>
                <w:sz w:val="16"/>
              </w:rPr>
              <w:br/>
              <w:t>2007-12-31 · read on abstract</w:t>
            </w:r>
          </w:p>
        </w:tc>
        <w:tc>
          <w:tcPr>
            <w:tcW w:type="dxa" w:w="1296"/>
            <w:shd w:val="clear" w:color="auto" w:fill="F4F6FA"/>
          </w:tcPr>
          <w:p>
            <w:pPr>
              <w:spacing w:after="0" w:before="0"/>
            </w:pPr>
            <w:r/>
            <w:r>
              <w:rPr>
                <w:rFonts w:ascii="Calibri" w:hAnsi="Calibri"/>
                <w:b/>
                <w:i w:val="0"/>
                <w:color w:val="142B4A"/>
                <w:sz w:val="16"/>
              </w:rPr>
              <w:t>PARTIAL</w:t>
            </w:r>
          </w:p>
        </w:tc>
        <w:tc>
          <w:tcPr>
            <w:tcW w:type="dxa" w:w="4032"/>
            <w:shd w:val="clear" w:color="auto" w:fill="F4F6FA"/>
          </w:tcPr>
          <w:p>
            <w:pPr>
              <w:spacing w:after="0" w:before="0"/>
            </w:pPr>
            <w:r/>
            <w:r>
              <w:rPr>
                <w:rFonts w:ascii="Calibri" w:hAnsi="Calibri"/>
                <w:b w:val="0"/>
                <w:i w:val="0"/>
                <w:sz w:val="16"/>
              </w:rPr>
              <w:t>“Advamced Sleep Phase Disorder (ASPD), Delayed Sleep Phase Disorder (DSPD), Free-Running Disorder (FRD) and Irregular Sleep-Wake Rhythm ISWR).”</w:t>
            </w:r>
            <w:r>
              <w:rPr>
                <w:rFonts w:ascii="Calibri" w:hAnsi="Calibri"/>
                <w:b w:val="0"/>
                <w:i w:val="0"/>
                <w:color w:val="595959"/>
                <w:sz w:val="16"/>
              </w:rPr>
              <w:t xml:space="preserve"> — Objective</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c1.L1.a2</w:t>
            </w:r>
          </w:p>
        </w:tc>
        <w:tc>
          <w:tcPr>
            <w:tcW w:type="dxa" w:w="2592"/>
          </w:tcPr>
          <w:p>
            <w:pPr>
              <w:spacing w:after="0" w:before="0"/>
            </w:pPr>
            <w:r/>
            <w:r>
              <w:rPr>
                <w:rFonts w:ascii="Calibri" w:hAnsi="Calibri"/>
                <w:b/>
                <w:i w:val="0"/>
                <w:color w:val="142B4A"/>
                <w:sz w:val="16"/>
              </w:rPr>
              <w:t>NCT:NCT00608907 (ClinicalTrials.gov 2007)</w:t>
            </w:r>
            <w:r>
              <w:rPr>
                <w:rFonts w:ascii="Calibri" w:hAnsi="Calibri"/>
                <w:b w:val="0"/>
                <w:i w:val="0"/>
                <w:color w:val="595959"/>
                <w:sz w:val="16"/>
              </w:rPr>
            </w:r>
            <w:r>
              <w:rPr>
                <w:rFonts w:ascii="Calibri" w:hAnsi="Calibri"/>
                <w:b w:val="0"/>
                <w:i w:val="0"/>
                <w:sz w:val="16"/>
              </w:rPr>
              <w:br/>
              <w:t>An Open-Label Study to Assess the Effect of CYP3A4 Induction on the Pharmacokinetics of…</w:t>
            </w:r>
            <w:r>
              <w:rPr>
                <w:rFonts w:ascii="Calibri" w:hAnsi="Calibri"/>
                <w:b w:val="0"/>
                <w:i w:val="0"/>
                <w:color w:val="595959"/>
                <w:sz w:val="16"/>
              </w:rPr>
              <w:br/>
              <w:t>2008-02-06 · read on abstract · co-drug: rifampicin</w:t>
            </w:r>
          </w:p>
        </w:tc>
        <w:tc>
          <w:tcPr>
            <w:tcW w:type="dxa" w:w="1296"/>
          </w:tcPr>
          <w:p>
            <w:pPr>
              <w:spacing w:after="0" w:before="0"/>
            </w:pPr>
            <w:r/>
            <w:r>
              <w:rPr>
                <w:rFonts w:ascii="Calibri" w:hAnsi="Calibri"/>
                <w:b/>
                <w:i w:val="0"/>
                <w:color w:val="142B4A"/>
                <w:sz w:val="16"/>
              </w:rPr>
              <w:t>PARTIAL</w:t>
            </w:r>
          </w:p>
        </w:tc>
        <w:tc>
          <w:tcPr>
            <w:tcW w:type="dxa" w:w="4032"/>
          </w:tcPr>
          <w:p>
            <w:pPr>
              <w:spacing w:after="0" w:before="0"/>
            </w:pPr>
            <w:r/>
            <w:r>
              <w:rPr>
                <w:rFonts w:ascii="Calibri" w:hAnsi="Calibri"/>
                <w:b w:val="0"/>
                <w:i w:val="0"/>
                <w:sz w:val="16"/>
              </w:rPr>
              <w:t>“rifampicin 600 mg once daily days 4 to 10 in cycle 3”</w:t>
            </w:r>
            <w:r>
              <w:rPr>
                <w:rFonts w:ascii="Calibri" w:hAnsi="Calibri"/>
                <w:b w:val="0"/>
                <w:i w:val="0"/>
                <w:color w:val="595959"/>
                <w:sz w:val="16"/>
              </w:rPr>
              <w:t xml:space="preserve"> — Arms section</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c1.L1.a2</w:t>
            </w:r>
          </w:p>
        </w:tc>
        <w:tc>
          <w:tcPr>
            <w:tcW w:type="dxa" w:w="2592"/>
            <w:shd w:val="clear" w:color="auto" w:fill="F4F6FA"/>
          </w:tcPr>
          <w:p>
            <w:pPr>
              <w:spacing w:after="0" w:before="0"/>
            </w:pPr>
            <w:r/>
            <w:r>
              <w:rPr>
                <w:rFonts w:ascii="Calibri" w:hAnsi="Calibri"/>
                <w:b/>
                <w:i w:val="0"/>
                <w:color w:val="142B4A"/>
                <w:sz w:val="16"/>
              </w:rPr>
              <w:t>NCT:NCT00929786 (ClinicalTrials.gov 2007)</w:t>
            </w:r>
            <w:r>
              <w:rPr>
                <w:rFonts w:ascii="Calibri" w:hAnsi="Calibri"/>
                <w:b w:val="0"/>
                <w:i w:val="0"/>
                <w:color w:val="595959"/>
                <w:sz w:val="16"/>
              </w:rPr>
            </w:r>
            <w:r>
              <w:rPr>
                <w:rFonts w:ascii="Calibri" w:hAnsi="Calibri"/>
                <w:b w:val="0"/>
                <w:i w:val="0"/>
                <w:sz w:val="16"/>
              </w:rPr>
              <w:br/>
              <w:t>Anti-tuberculosis (TB) Drug Levels and Hepatotoxicity</w:t>
            </w:r>
            <w:r>
              <w:rPr>
                <w:rFonts w:ascii="Calibri" w:hAnsi="Calibri"/>
                <w:b w:val="0"/>
                <w:i w:val="0"/>
                <w:color w:val="595959"/>
                <w:sz w:val="16"/>
              </w:rPr>
              <w:br/>
              <w:t>2009-06-30 · read on abstract · co-drug: rifampicin</w:t>
            </w:r>
          </w:p>
        </w:tc>
        <w:tc>
          <w:tcPr>
            <w:tcW w:type="dxa" w:w="1296"/>
            <w:shd w:val="clear" w:color="auto" w:fill="F4F6FA"/>
          </w:tcPr>
          <w:p>
            <w:pPr>
              <w:spacing w:after="0" w:before="0"/>
            </w:pPr>
            <w:r/>
            <w:r>
              <w:rPr>
                <w:rFonts w:ascii="Calibri" w:hAnsi="Calibri"/>
                <w:b/>
                <w:i w:val="0"/>
                <w:color w:val="142B4A"/>
                <w:sz w:val="16"/>
              </w:rPr>
              <w:t>PARTIAL</w:t>
            </w:r>
          </w:p>
        </w:tc>
        <w:tc>
          <w:tcPr>
            <w:tcW w:type="dxa" w:w="4032"/>
            <w:shd w:val="clear" w:color="auto" w:fill="F4F6FA"/>
          </w:tcPr>
          <w:p>
            <w:pPr>
              <w:spacing w:after="0" w:before="0"/>
            </w:pPr>
            <w:r/>
            <w:r>
              <w:rPr>
                <w:rFonts w:ascii="Calibri" w:hAnsi="Calibri"/>
                <w:b w:val="0"/>
                <w:i w:val="0"/>
                <w:sz w:val="16"/>
              </w:rPr>
              <w:t>“isoniazid, rifampicin, pyrazinamide plus significant metabolites”</w:t>
            </w:r>
            <w:r>
              <w:rPr>
                <w:rFonts w:ascii="Calibri" w:hAnsi="Calibri"/>
                <w:b w:val="0"/>
                <w:i w:val="0"/>
                <w:color w:val="595959"/>
                <w:sz w:val="16"/>
              </w:rPr>
              <w:t xml:space="preserve"> — Purpose statement</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c1.L1.a2</w:t>
            </w:r>
          </w:p>
        </w:tc>
        <w:tc>
          <w:tcPr>
            <w:tcW w:type="dxa" w:w="2592"/>
          </w:tcPr>
          <w:p>
            <w:pPr>
              <w:spacing w:after="0" w:before="0"/>
            </w:pPr>
            <w:r/>
            <w:r>
              <w:rPr>
                <w:rFonts w:ascii="Calibri" w:hAnsi="Calibri"/>
                <w:b/>
                <w:i w:val="0"/>
                <w:color w:val="142B4A"/>
                <w:sz w:val="16"/>
              </w:rPr>
              <w:t>NPL:FDA-LABEL-NDA021782-2010-11-12</w:t>
            </w:r>
            <w:r>
              <w:rPr>
                <w:rFonts w:ascii="Calibri" w:hAnsi="Calibri"/>
                <w:b w:val="0"/>
                <w:i w:val="0"/>
                <w:color w:val="595959"/>
                <w:sz w:val="16"/>
              </w:rPr>
            </w:r>
            <w:r>
              <w:rPr>
                <w:rFonts w:ascii="Calibri" w:hAnsi="Calibri"/>
                <w:b w:val="0"/>
                <w:i w:val="0"/>
                <w:sz w:val="16"/>
              </w:rPr>
              <w:br/>
              <w:t>ROZEREM prescribing information (Drugs@FDA NDA021782, label dated 2010-11-12)</w:t>
            </w:r>
            <w:r>
              <w:rPr>
                <w:rFonts w:ascii="Calibri" w:hAnsi="Calibri"/>
                <w:b w:val="0"/>
                <w:i w:val="0"/>
                <w:color w:val="595959"/>
                <w:sz w:val="16"/>
              </w:rPr>
              <w:br/>
              <w:t>2010-11-12 · read on full text</w:t>
            </w:r>
          </w:p>
        </w:tc>
        <w:tc>
          <w:tcPr>
            <w:tcW w:type="dxa" w:w="1296"/>
          </w:tcPr>
          <w:p>
            <w:pPr>
              <w:spacing w:after="0" w:before="0"/>
            </w:pPr>
            <w:r/>
            <w:r>
              <w:rPr>
                <w:rFonts w:ascii="Calibri" w:hAnsi="Calibri"/>
                <w:b/>
                <w:i w:val="0"/>
                <w:color w:val="142B4A"/>
                <w:sz w:val="16"/>
              </w:rPr>
              <w:t>PARTIAL</w:t>
            </w:r>
          </w:p>
        </w:tc>
        <w:tc>
          <w:tcPr>
            <w:tcW w:type="dxa" w:w="4032"/>
          </w:tcPr>
          <w:p>
            <w:pPr>
              <w:spacing w:after="0" w:before="0"/>
            </w:pPr>
            <w:r/>
            <w:r>
              <w:rPr>
                <w:rFonts w:ascii="Calibri" w:hAnsi="Calibri"/>
                <w:b w:val="0"/>
                <w:i w:val="0"/>
                <w:sz w:val="16"/>
              </w:rPr>
              <w:t>“Rifampin (strong CYP enzyme inducer): Administration of multiple doses of rifampin resulted in a mean decrease of approximately 80% in total exposure to ramelteon and metabolite M-II.”</w:t>
            </w:r>
            <w:r>
              <w:rPr>
                <w:rFonts w:ascii="Calibri" w:hAnsi="Calibri"/>
                <w:b w:val="0"/>
                <w:i w:val="0"/>
                <w:color w:val="595959"/>
                <w:sz w:val="16"/>
              </w:rPr>
              <w:t xml:space="preserve"> — 7.1 Drug Interactions</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c1.L1.a2</w:t>
            </w:r>
          </w:p>
        </w:tc>
        <w:tc>
          <w:tcPr>
            <w:tcW w:type="dxa" w:w="2592"/>
            <w:shd w:val="clear" w:color="auto" w:fill="F4F6FA"/>
          </w:tcPr>
          <w:p>
            <w:pPr>
              <w:spacing w:after="0" w:before="0"/>
            </w:pPr>
            <w:r/>
            <w:r>
              <w:rPr>
                <w:rFonts w:ascii="Calibri" w:hAnsi="Calibri"/>
                <w:b/>
                <w:i w:val="0"/>
                <w:color w:val="142B4A"/>
                <w:sz w:val="16"/>
              </w:rPr>
              <w:t>PMID:22087865</w:t>
            </w:r>
            <w:r>
              <w:rPr>
                <w:rFonts w:ascii="Calibri" w:hAnsi="Calibri"/>
                <w:b w:val="0"/>
                <w:i w:val="0"/>
                <w:color w:val="595959"/>
                <w:sz w:val="16"/>
              </w:rPr>
              <w:t xml:space="preserve">  Hellmann et al.</w:t>
            </w:r>
            <w:r>
              <w:rPr>
                <w:rFonts w:ascii="Calibri" w:hAnsi="Calibri"/>
                <w:b w:val="0"/>
                <w:i w:val="0"/>
                <w:sz w:val="16"/>
              </w:rPr>
              <w:br/>
              <w:t>Effect of cytochrome P450 3A4 inducers on the pharmacokinetic, pharmacodynamic and safety…</w:t>
            </w:r>
            <w:r>
              <w:rPr>
                <w:rFonts w:ascii="Calibri" w:hAnsi="Calibri"/>
                <w:b w:val="0"/>
                <w:i w:val="0"/>
                <w:color w:val="595959"/>
                <w:sz w:val="16"/>
              </w:rPr>
              <w:br/>
              <w:t>2011-12-01 · read on abstract · co-drug: rifampicin</w:t>
            </w:r>
          </w:p>
        </w:tc>
        <w:tc>
          <w:tcPr>
            <w:tcW w:type="dxa" w:w="1296"/>
            <w:shd w:val="clear" w:color="auto" w:fill="F4F6FA"/>
          </w:tcPr>
          <w:p>
            <w:pPr>
              <w:spacing w:after="0" w:before="0"/>
            </w:pPr>
            <w:r/>
            <w:r>
              <w:rPr>
                <w:rFonts w:ascii="Calibri" w:hAnsi="Calibri"/>
                <w:b/>
                <w:i w:val="0"/>
                <w:color w:val="142B4A"/>
                <w:sz w:val="16"/>
              </w:rPr>
              <w:t>PARTIAL</w:t>
            </w:r>
          </w:p>
        </w:tc>
        <w:tc>
          <w:tcPr>
            <w:tcW w:type="dxa" w:w="4032"/>
            <w:shd w:val="clear" w:color="auto" w:fill="F4F6FA"/>
          </w:tcPr>
          <w:p>
            <w:pPr>
              <w:spacing w:after="0" w:before="0"/>
            </w:pPr>
            <w:r/>
            <w:r>
              <w:rPr>
                <w:rFonts w:ascii="Calibri" w:hAnsi="Calibri"/>
                <w:b w:val="0"/>
                <w:i w:val="0"/>
                <w:sz w:val="16"/>
              </w:rPr>
              <w:t>“co-administration of rifampicin decreased the exposure to bortezomib”</w:t>
            </w:r>
            <w:r>
              <w:rPr>
                <w:rFonts w:ascii="Calibri" w:hAnsi="Calibri"/>
                <w:b w:val="0"/>
                <w:i w:val="0"/>
                <w:color w:val="595959"/>
                <w:sz w:val="16"/>
              </w:rPr>
              <w:t xml:space="preserve"> — Conclusions</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c1.L1.a2</w:t>
            </w:r>
          </w:p>
        </w:tc>
        <w:tc>
          <w:tcPr>
            <w:tcW w:type="dxa" w:w="2592"/>
          </w:tcPr>
          <w:p>
            <w:pPr>
              <w:spacing w:after="0" w:before="0"/>
            </w:pPr>
            <w:r/>
            <w:r>
              <w:rPr>
                <w:rFonts w:ascii="Calibri" w:hAnsi="Calibri"/>
                <w:b/>
                <w:i w:val="0"/>
                <w:color w:val="142B4A"/>
                <w:sz w:val="16"/>
              </w:rPr>
              <w:t>PMID:12882588</w:t>
            </w:r>
            <w:r>
              <w:rPr>
                <w:rFonts w:ascii="Calibri" w:hAnsi="Calibri"/>
                <w:b w:val="0"/>
                <w:i w:val="0"/>
                <w:color w:val="595959"/>
                <w:sz w:val="16"/>
              </w:rPr>
              <w:t xml:space="preserve">  Niemi et al.</w:t>
            </w:r>
            <w:r>
              <w:rPr>
                <w:rFonts w:ascii="Calibri" w:hAnsi="Calibri"/>
                <w:b w:val="0"/>
                <w:i w:val="0"/>
                <w:sz w:val="16"/>
              </w:rPr>
              <w:br/>
              <w:t>Pharmacokinetic interactions with rifampicin : clinical relevance</w:t>
            </w:r>
            <w:r>
              <w:rPr>
                <w:rFonts w:ascii="Calibri" w:hAnsi="Calibri"/>
                <w:b w:val="0"/>
                <w:i w:val="0"/>
                <w:color w:val="595959"/>
                <w:sz w:val="16"/>
              </w:rPr>
              <w:br/>
              <w:t>2003-01-01 · read on abstract</w:t>
            </w:r>
          </w:p>
        </w:tc>
        <w:tc>
          <w:tcPr>
            <w:tcW w:type="dxa" w:w="1296"/>
          </w:tcPr>
          <w:p>
            <w:pPr>
              <w:spacing w:after="0" w:before="0"/>
            </w:pPr>
            <w:r/>
            <w:r>
              <w:rPr>
                <w:rFonts w:ascii="Calibri" w:hAnsi="Calibri"/>
                <w:b/>
                <w:i w:val="0"/>
                <w:color w:val="142B4A"/>
                <w:sz w:val="16"/>
              </w:rPr>
              <w:t>FUNCTIONAL INFERENCE</w:t>
            </w:r>
          </w:p>
        </w:tc>
        <w:tc>
          <w:tcPr>
            <w:tcW w:type="dxa" w:w="4032"/>
          </w:tcPr>
          <w:p>
            <w:pPr>
              <w:spacing w:after="0" w:before="0"/>
            </w:pPr>
            <w:r/>
            <w:r>
              <w:rPr>
                <w:rFonts w:ascii="Calibri" w:hAnsi="Calibri"/>
                <w:b w:val="0"/>
                <w:i w:val="0"/>
                <w:sz w:val="16"/>
              </w:rPr>
              <w:t>“Potential drug interactions should be considered whenever beginning or discontinuing rifampicin treatment.”</w:t>
            </w:r>
            <w:r>
              <w:rPr>
                <w:rFonts w:ascii="Calibri" w:hAnsi="Calibri"/>
                <w:b w:val="0"/>
                <w:i w:val="0"/>
                <w:color w:val="595959"/>
                <w:sz w:val="16"/>
              </w:rPr>
              <w:t xml:space="preserve"> — abstract body</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c1.L2.a1</w:t>
            </w:r>
          </w:p>
        </w:tc>
        <w:tc>
          <w:tcPr>
            <w:tcW w:type="dxa" w:w="2592"/>
            <w:shd w:val="clear" w:color="auto" w:fill="F4F6FA"/>
          </w:tcPr>
          <w:p>
            <w:pPr>
              <w:spacing w:after="0" w:before="0"/>
            </w:pPr>
            <w:r/>
            <w:r>
              <w:rPr>
                <w:rFonts w:ascii="Calibri" w:hAnsi="Calibri"/>
                <w:b/>
                <w:i w:val="0"/>
                <w:color w:val="142B4A"/>
                <w:sz w:val="16"/>
              </w:rPr>
              <w:t>PMID:12882588</w:t>
            </w:r>
            <w:r>
              <w:rPr>
                <w:rFonts w:ascii="Calibri" w:hAnsi="Calibri"/>
                <w:b w:val="0"/>
                <w:i w:val="0"/>
                <w:color w:val="595959"/>
                <w:sz w:val="16"/>
              </w:rPr>
              <w:t xml:space="preserve">  Niemi et al.</w:t>
            </w:r>
            <w:r>
              <w:rPr>
                <w:rFonts w:ascii="Calibri" w:hAnsi="Calibri"/>
                <w:b w:val="0"/>
                <w:i w:val="0"/>
                <w:sz w:val="16"/>
              </w:rPr>
              <w:br/>
              <w:t>Pharmacokinetic interactions with rifampicin : clinical relevance</w:t>
            </w:r>
            <w:r>
              <w:rPr>
                <w:rFonts w:ascii="Calibri" w:hAnsi="Calibri"/>
                <w:b w:val="0"/>
                <w:i w:val="0"/>
                <w:color w:val="595959"/>
                <w:sz w:val="16"/>
              </w:rPr>
              <w:br/>
              <w:t>2003-01-01 · read on abstract</w:t>
            </w:r>
          </w:p>
        </w:tc>
        <w:tc>
          <w:tcPr>
            <w:tcW w:type="dxa" w:w="1296"/>
            <w:shd w:val="clear" w:color="auto" w:fill="F4F6FA"/>
          </w:tcPr>
          <w:p>
            <w:pPr>
              <w:spacing w:after="0" w:before="0"/>
            </w:pPr>
            <w:r/>
            <w:r>
              <w:rPr>
                <w:rFonts w:ascii="Calibri" w:hAnsi="Calibri"/>
                <w:b/>
                <w:i w:val="0"/>
                <w:color w:val="142B4A"/>
                <w:sz w:val="16"/>
              </w:rPr>
              <w:t>FUNCTIONAL INFERENCE</w:t>
            </w:r>
          </w:p>
        </w:tc>
        <w:tc>
          <w:tcPr>
            <w:tcW w:type="dxa" w:w="4032"/>
            <w:shd w:val="clear" w:color="auto" w:fill="F4F6FA"/>
          </w:tcPr>
          <w:p>
            <w:pPr>
              <w:spacing w:after="0" w:before="0"/>
            </w:pPr>
            <w:r/>
            <w:r>
              <w:rPr>
                <w:rFonts w:ascii="Calibri" w:hAnsi="Calibri"/>
                <w:b w:val="0"/>
                <w:i w:val="0"/>
                <w:sz w:val="16"/>
              </w:rPr>
              <w:t>“Rifampicin has its greatest effects on the pharmacokinetics of orally administered drugs that are metabolised by CYP3A4 and/or are transported by P-glycoprotein.”</w:t>
            </w:r>
            <w:r>
              <w:rPr>
                <w:rFonts w:ascii="Calibri" w:hAnsi="Calibri"/>
                <w:b w:val="0"/>
                <w:i w:val="0"/>
                <w:color w:val="595959"/>
                <w:sz w:val="16"/>
              </w:rPr>
              <w:t xml:space="preserve"> — abstract body</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c2.L1.a1</w:t>
            </w:r>
          </w:p>
        </w:tc>
        <w:tc>
          <w:tcPr>
            <w:tcW w:type="dxa" w:w="2592"/>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r>
            <w:r>
              <w:rPr>
                <w:rFonts w:ascii="Calibri" w:hAnsi="Calibri"/>
                <w:b w:val="0"/>
                <w:i w:val="0"/>
                <w:sz w:val="16"/>
              </w:rPr>
              <w:br/>
              <w:t>Safety Study of Tasimelteon for Treatment of Non-24-Hour-Sleep-Wake Disorder in Blind…</w:t>
            </w:r>
            <w:r>
              <w:rPr>
                <w:rFonts w:ascii="Calibri" w:hAnsi="Calibri"/>
                <w:b w:val="0"/>
                <w:i w:val="0"/>
                <w:color w:val="595959"/>
                <w:sz w:val="16"/>
              </w:rPr>
              <w:br/>
              <w:t>2010-10-11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“Open-Label Safety Study of a 1-Year 20 mg Dose Regimen of Tasimelteon for Treatment of Non-24-Hour-Sleep-Wake Disorder (N24HSWD) in Blind Individuals With No Light Perception”</w:t>
            </w:r>
            <w:r>
              <w:rPr>
                <w:rFonts w:ascii="Calibri" w:hAnsi="Calibri"/>
                <w:b w:val="0"/>
                <w:i w:val="0"/>
                <w:color w:val="595959"/>
                <w:sz w:val="16"/>
              </w:rPr>
              <w:t xml:space="preserve"> — Title</w:t>
            </w:r>
          </w:p>
        </w:tc>
        <w:tc>
          <w:tcPr>
            <w:tcW w:type="dxa" w:w="1584"/>
          </w:tcPr>
          <w:p>
            <w:pPr>
              <w:spacing w:after="0" w:before="0"/>
            </w:pPr>
            <w:r/>
            <w:r>
              <w:rPr>
                <w:rFonts w:ascii="Calibri" w:hAnsi="Calibri"/>
                <w:b w:val="0"/>
                <w:i w:val="0"/>
                <w:sz w:val="16"/>
              </w:rPr>
              <w:t>in the combination</w:t>
            </w:r>
          </w:p>
        </w:tc>
      </w:tr>
      <w:tr>
        <w:tc>
          <w:tcPr>
            <w:tcW w:type="dxa" w:w="720"/>
            <w:shd w:val="clear" w:color="auto" w:fill="F4F6FA"/>
          </w:tcPr>
          <w:p>
            <w:pPr>
              <w:spacing w:after="0" w:before="0"/>
            </w:pPr>
            <w:r/>
            <w:r>
              <w:rPr>
                <w:rFonts w:ascii="Calibri" w:hAnsi="Calibri"/>
                <w:b w:val="0"/>
                <w:i w:val="0"/>
                <w:sz w:val="16"/>
              </w:rPr>
              <w:t>c2.L1.a1</w:t>
            </w:r>
          </w:p>
        </w:tc>
        <w:tc>
          <w:tcPr>
            <w:tcW w:type="dxa" w:w="2592"/>
            <w:shd w:val="clear" w:color="auto" w:fill="F4F6FA"/>
          </w:tcPr>
          <w:p>
            <w:pPr>
              <w:spacing w:after="0" w:before="0"/>
            </w:pPr>
            <w:r/>
            <w:r>
              <w:rPr>
                <w:rFonts w:ascii="Calibri" w:hAnsi="Calibri"/>
                <w:b/>
                <w:i w:val="0"/>
                <w:color w:val="142B4A"/>
                <w:sz w:val="16"/>
              </w:rPr>
              <w:t>NCT:NCT01430754 (ClinicalTrials.gov 2011)</w:t>
            </w:r>
            <w:r>
              <w:rPr>
                <w:rFonts w:ascii="Calibri" w:hAnsi="Calibri"/>
                <w:b w:val="0"/>
                <w:i w:val="0"/>
                <w:color w:val="595959"/>
                <w:sz w:val="16"/>
              </w:rPr>
            </w:r>
            <w:r>
              <w:rPr>
                <w:rFonts w:ascii="Calibri" w:hAnsi="Calibri"/>
                <w:b w:val="0"/>
                <w:i w:val="0"/>
                <w:sz w:val="16"/>
              </w:rPr>
              <w:br/>
              <w:t>Withdrawal Study to Demonstrate the Maintenance Effect in the Treatment of Non-24-Hour…</w:t>
            </w:r>
            <w:r>
              <w:rPr>
                <w:rFonts w:ascii="Calibri" w:hAnsi="Calibri"/>
                <w:b w:val="0"/>
                <w:i w:val="0"/>
                <w:color w:val="595959"/>
                <w:sz w:val="16"/>
              </w:rPr>
              <w:br/>
              <w:t>2011-09-08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“to evaluate the maintenance effect and safety of 20 mg tasimelteon versus placebo in subjects suffering from Non-24-Hour Sleep-Wake Disorder.”</w:t>
            </w:r>
            <w:r>
              <w:rPr>
                <w:rFonts w:ascii="Calibri" w:hAnsi="Calibri"/>
                <w:b w:val="0"/>
                <w:i w:val="0"/>
                <w:color w:val="595959"/>
                <w:sz w:val="16"/>
              </w:rPr>
              <w:t xml:space="preserve"> — purpose statement</w:t>
            </w:r>
          </w:p>
        </w:tc>
        <w:tc>
          <w:tcPr>
            <w:tcW w:type="dxa" w:w="1584"/>
            <w:shd w:val="clear" w:color="auto" w:fill="F4F6FA"/>
          </w:tcPr>
          <w:p>
            <w:pPr>
              <w:spacing w:after="0" w:before="0"/>
            </w:pPr>
            <w:r/>
            <w:r>
              <w:rPr>
                <w:rFonts w:ascii="Calibri" w:hAnsi="Calibri"/>
                <w:b w:val="0"/>
                <w:i w:val="0"/>
                <w:sz w:val="16"/>
              </w:rPr>
              <w:t>alternative 1</w:t>
            </w:r>
          </w:p>
        </w:tc>
      </w:tr>
      <w:tr>
        <w:tc>
          <w:tcPr>
            <w:tcW w:type="dxa" w:w="720"/>
          </w:tcPr>
          <w:p>
            <w:pPr>
              <w:spacing w:after="0" w:before="0"/>
            </w:pPr>
            <w:r/>
            <w:r>
              <w:rPr>
                <w:rFonts w:ascii="Calibri" w:hAnsi="Calibri"/>
                <w:b w:val="0"/>
                <w:i w:val="0"/>
                <w:sz w:val="16"/>
              </w:rPr>
              <w:t>c2.L1.a1</w:t>
            </w:r>
          </w:p>
        </w:tc>
        <w:tc>
          <w:tcPr>
            <w:tcW w:type="dxa" w:w="2592"/>
          </w:tcPr>
          <w:p>
            <w:pPr>
              <w:spacing w:after="0" w:before="0"/>
            </w:pPr>
            <w:r/>
            <w:r>
              <w:rPr>
                <w:rFonts w:ascii="Calibri" w:hAnsi="Calibri"/>
                <w:b/>
                <w:i w:val="0"/>
                <w:color w:val="142B4A"/>
                <w:sz w:val="16"/>
              </w:rPr>
              <w:t>PMID:17969867</w:t>
            </w:r>
            <w:r>
              <w:rPr>
                <w:rFonts w:ascii="Calibri" w:hAnsi="Calibri"/>
                <w:b w:val="0"/>
                <w:i w:val="0"/>
                <w:color w:val="595959"/>
                <w:sz w:val="16"/>
              </w:rPr>
              <w:t xml:space="preserve">  Lockley et al.</w:t>
            </w:r>
            <w:r>
              <w:rPr>
                <w:rFonts w:ascii="Calibri" w:hAnsi="Calibri"/>
                <w:b w:val="0"/>
                <w:i w:val="0"/>
                <w:sz w:val="16"/>
              </w:rPr>
              <w:br/>
              <w:t>Visual impairment and circadian rhythm disorders.</w:t>
            </w:r>
            <w:r>
              <w:rPr>
                <w:rFonts w:ascii="Calibri" w:hAnsi="Calibri"/>
                <w:b w:val="0"/>
                <w:i w:val="0"/>
                <w:color w:val="595959"/>
                <w:sz w:val="16"/>
              </w:rPr>
              <w:br/>
              <w:t>2007-12-31 · read on full text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“The cyclic sleep-wake pattern, formally termed “non-24-hour sleepwake disorder,” persists ad Infinitum and can be extremely disruptive and debilitating”</w:t>
            </w:r>
            <w:r>
              <w:rPr>
                <w:rFonts w:ascii="Calibri" w:hAnsi="Calibri"/>
                <w:b w:val="0"/>
                <w:i w:val="0"/>
                <w:color w:val="595959"/>
                <w:sz w:val="16"/>
              </w:rPr>
              <w:t xml:space="preserve"> — Circadian rhythm disorders in the blind</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c2.L1.a1</w:t>
            </w:r>
          </w:p>
        </w:tc>
        <w:tc>
          <w:tcPr>
            <w:tcW w:type="dxa" w:w="2592"/>
            <w:shd w:val="clear" w:color="auto" w:fill="F4F6FA"/>
          </w:tcPr>
          <w:p>
            <w:pPr>
              <w:spacing w:after="0" w:before="0"/>
            </w:pPr>
            <w:r/>
            <w:r>
              <w:rPr>
                <w:rFonts w:ascii="Calibri" w:hAnsi="Calibri"/>
                <w:b/>
                <w:i w:val="0"/>
                <w:color w:val="142B4A"/>
                <w:sz w:val="16"/>
              </w:rPr>
              <w:t>PMID:18041479</w:t>
            </w:r>
            <w:r>
              <w:rPr>
                <w:rFonts w:ascii="Calibri" w:hAnsi="Calibri"/>
                <w:b w:val="0"/>
                <w:i w:val="0"/>
                <w:color w:val="595959"/>
                <w:sz w:val="16"/>
              </w:rPr>
              <w:t xml:space="preserve">  Morgenthaler et al.</w:t>
            </w:r>
            <w:r>
              <w:rPr>
                <w:rFonts w:ascii="Calibri" w:hAnsi="Calibri"/>
                <w:b w:val="0"/>
                <w:i w:val="0"/>
                <w:sz w:val="16"/>
              </w:rPr>
              <w:br/>
              <w:t>Practice parameters for the clinical evaluation and treatment of circadian rhythm sleep…</w:t>
            </w:r>
            <w:r>
              <w:rPr>
                <w:rFonts w:ascii="Calibri" w:hAnsi="Calibri"/>
                <w:b w:val="0"/>
                <w:i w:val="0"/>
                <w:color w:val="595959"/>
                <w:sz w:val="16"/>
              </w:rPr>
              <w:br/>
              <w:t>2007-12-31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“the non-24-hour sleep-wake syndrome (nonentrained type) or free-running disorder (FRD)”</w:t>
            </w:r>
            <w:r>
              <w:rPr>
                <w:rFonts w:ascii="Calibri" w:hAnsi="Calibri"/>
                <w:b w:val="0"/>
                <w:i w:val="0"/>
                <w:color w:val="595959"/>
                <w:sz w:val="16"/>
              </w:rPr>
              <w:t xml:space="preserve"> — abstract</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c2.L1.a1</w:t>
            </w:r>
          </w:p>
        </w:tc>
        <w:tc>
          <w:tcPr>
            <w:tcW w:type="dxa" w:w="2592"/>
          </w:tcPr>
          <w:p>
            <w:pPr>
              <w:spacing w:after="0" w:before="0"/>
            </w:pPr>
            <w:r/>
            <w:r>
              <w:rPr>
                <w:rFonts w:ascii="Calibri" w:hAnsi="Calibri"/>
                <w:b/>
                <w:i w:val="0"/>
                <w:color w:val="142B4A"/>
                <w:sz w:val="16"/>
              </w:rPr>
              <w:t>PMID:17420154</w:t>
            </w:r>
            <w:r>
              <w:rPr>
                <w:rFonts w:ascii="Calibri" w:hAnsi="Calibri"/>
                <w:b w:val="0"/>
                <w:i w:val="0"/>
                <w:color w:val="595959"/>
                <w:sz w:val="16"/>
              </w:rPr>
              <w:t xml:space="preserve">  Skene et al.</w:t>
            </w:r>
            <w:r>
              <w:rPr>
                <w:rFonts w:ascii="Calibri" w:hAnsi="Calibri"/>
                <w:b w:val="0"/>
                <w:i w:val="0"/>
                <w:sz w:val="16"/>
              </w:rPr>
              <w:br/>
              <w:t>Circadian rhythm sleep disorders in the blind and their treatment with melatonin</w:t>
            </w:r>
            <w:r>
              <w:rPr>
                <w:rFonts w:ascii="Calibri" w:hAnsi="Calibri"/>
                <w:b w:val="0"/>
                <w:i w:val="0"/>
                <w:color w:val="595959"/>
                <w:sz w:val="16"/>
              </w:rPr>
              <w:br/>
              <w:t>2007-12-31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“This is a lifelong condition. Daily administration of exogenous melatonin is the current treatment of choice for this so-called "non-24h sleep/wake disorder".”</w:t>
            </w:r>
            <w:r>
              <w:rPr>
                <w:rFonts w:ascii="Calibri" w:hAnsi="Calibri"/>
                <w:b w:val="0"/>
                <w:i w:val="0"/>
                <w:color w:val="595959"/>
                <w:sz w:val="16"/>
              </w:rPr>
              <w:t xml:space="preserve"> — abstract</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c2.L1.a1</w:t>
            </w:r>
          </w:p>
        </w:tc>
        <w:tc>
          <w:tcPr>
            <w:tcW w:type="dxa" w:w="2592"/>
            <w:shd w:val="clear" w:color="auto" w:fill="F4F6FA"/>
          </w:tcPr>
          <w:p>
            <w:pPr>
              <w:spacing w:after="0" w:before="0"/>
            </w:pPr>
            <w:r/>
            <w:r>
              <w:rPr>
                <w:rFonts w:ascii="Calibri" w:hAnsi="Calibri"/>
                <w:b/>
                <w:i w:val="0"/>
                <w:color w:val="142B4A"/>
                <w:sz w:val="16"/>
              </w:rPr>
              <w:t>PMID:26568125</w:t>
            </w:r>
            <w:r>
              <w:rPr>
                <w:rFonts w:ascii="Calibri" w:hAnsi="Calibri"/>
                <w:b w:val="0"/>
                <w:i w:val="0"/>
                <w:color w:val="595959"/>
                <w:sz w:val="16"/>
              </w:rPr>
              <w:t xml:space="preserve">  Uchiyama et al.</w:t>
            </w:r>
            <w:r>
              <w:rPr>
                <w:rFonts w:ascii="Calibri" w:hAnsi="Calibri"/>
                <w:b w:val="0"/>
                <w:i w:val="0"/>
                <w:sz w:val="16"/>
              </w:rPr>
              <w:br/>
              <w:t>Non-24-Hour Sleep-Wake Syndrome in Sighted and Blind Patients</w:t>
            </w:r>
            <w:r>
              <w:rPr>
                <w:rFonts w:ascii="Calibri" w:hAnsi="Calibri"/>
                <w:b w:val="0"/>
                <w:i w:val="0"/>
                <w:color w:val="595959"/>
                <w:sz w:val="16"/>
              </w:rPr>
              <w:br/>
              <w:t>2009-12-31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“Non-24-hour sleep-wake rhythm disorder (N24SWD) is a cyclic debilitating circadian rhythm sleep disorder characterized by an inability to sleep on a 24-hour schedule.”</w:t>
            </w:r>
            <w:r>
              <w:rPr>
                <w:rFonts w:ascii="Calibri" w:hAnsi="Calibri"/>
                <w:b w:val="0"/>
                <w:i w:val="0"/>
                <w:color w:val="595959"/>
                <w:sz w:val="16"/>
              </w:rPr>
              <w:t xml:space="preserve"> — Abstract</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c3.L1.a1</w:t>
            </w:r>
          </w:p>
        </w:tc>
        <w:tc>
          <w:tcPr>
            <w:tcW w:type="dxa" w:w="2592"/>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r>
            <w:r>
              <w:rPr>
                <w:rFonts w:ascii="Calibri" w:hAnsi="Calibri"/>
                <w:b w:val="0"/>
                <w:i w:val="0"/>
                <w:sz w:val="16"/>
              </w:rPr>
              <w:br/>
              <w:t>Safety Study of Tasimelteon for Treatment of Non-24-Hour-Sleep-Wake Disorder in Blind…</w:t>
            </w:r>
            <w:r>
              <w:rPr>
                <w:rFonts w:ascii="Calibri" w:hAnsi="Calibri"/>
                <w:b w:val="0"/>
                <w:i w:val="0"/>
                <w:color w:val="595959"/>
                <w:sz w:val="16"/>
              </w:rPr>
              <w:br/>
              <w:t>2010-10-11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“in Blind Individuals With No Light Perception”</w:t>
            </w:r>
            <w:r>
              <w:rPr>
                <w:rFonts w:ascii="Calibri" w:hAnsi="Calibri"/>
                <w:b w:val="0"/>
                <w:i w:val="0"/>
                <w:color w:val="595959"/>
                <w:sz w:val="16"/>
              </w:rPr>
              <w:t xml:space="preserve"> — Title</w:t>
            </w:r>
          </w:p>
        </w:tc>
        <w:tc>
          <w:tcPr>
            <w:tcW w:type="dxa" w:w="1584"/>
          </w:tcPr>
          <w:p>
            <w:pPr>
              <w:spacing w:after="0" w:before="0"/>
            </w:pPr>
            <w:r/>
            <w:r>
              <w:rPr>
                <w:rFonts w:ascii="Calibri" w:hAnsi="Calibri"/>
                <w:b w:val="0"/>
                <w:i w:val="0"/>
                <w:sz w:val="16"/>
              </w:rPr>
              <w:t>in the combination</w:t>
            </w:r>
          </w:p>
        </w:tc>
      </w:tr>
      <w:tr>
        <w:tc>
          <w:tcPr>
            <w:tcW w:type="dxa" w:w="720"/>
            <w:shd w:val="clear" w:color="auto" w:fill="F4F6FA"/>
          </w:tcPr>
          <w:p>
            <w:pPr>
              <w:spacing w:after="0" w:before="0"/>
            </w:pPr>
            <w:r/>
            <w:r>
              <w:rPr>
                <w:rFonts w:ascii="Calibri" w:hAnsi="Calibri"/>
                <w:b w:val="0"/>
                <w:i w:val="0"/>
                <w:sz w:val="16"/>
              </w:rPr>
              <w:t>c3.L1.a1</w:t>
            </w:r>
          </w:p>
        </w:tc>
        <w:tc>
          <w:tcPr>
            <w:tcW w:type="dxa" w:w="2592"/>
            <w:shd w:val="clear" w:color="auto" w:fill="F4F6FA"/>
          </w:tcPr>
          <w:p>
            <w:pPr>
              <w:spacing w:after="0" w:before="0"/>
            </w:pPr>
            <w:r/>
            <w:r>
              <w:rPr>
                <w:rFonts w:ascii="Calibri" w:hAnsi="Calibri"/>
                <w:b/>
                <w:i w:val="0"/>
                <w:color w:val="142B4A"/>
                <w:sz w:val="16"/>
              </w:rPr>
              <w:t>PMID:12530986</w:t>
            </w:r>
            <w:r>
              <w:rPr>
                <w:rFonts w:ascii="Calibri" w:hAnsi="Calibri"/>
                <w:b w:val="0"/>
                <w:i w:val="0"/>
                <w:color w:val="595959"/>
                <w:sz w:val="16"/>
              </w:rPr>
              <w:t xml:space="preserve">  Sack et al.</w:t>
            </w:r>
            <w:r>
              <w:rPr>
                <w:rFonts w:ascii="Calibri" w:hAnsi="Calibri"/>
                <w:b w:val="0"/>
                <w:i w:val="0"/>
                <w:sz w:val="16"/>
              </w:rPr>
              <w:br/>
              <w:t>Circadian rhythm sleep disorders: lessons from the blind</w:t>
            </w:r>
            <w:r>
              <w:rPr>
                <w:rFonts w:ascii="Calibri" w:hAnsi="Calibri"/>
                <w:b w:val="0"/>
                <w:i w:val="0"/>
                <w:color w:val="595959"/>
                <w:sz w:val="16"/>
              </w:rPr>
              <w:br/>
              <w:t>2001-12-31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“As totally blind people cannot perceive the light-dark cycle (the major synchroniser of the circadian pacemaker) their circadian rhythms often "free run" on a cycle slightly longer than 24 h.”</w:t>
            </w:r>
            <w:r>
              <w:rPr>
                <w:rFonts w:ascii="Calibri" w:hAnsi="Calibri"/>
                <w:b w:val="0"/>
                <w:i w:val="0"/>
                <w:color w:val="595959"/>
                <w:sz w:val="16"/>
              </w:rPr>
              <w:t xml:space="preserve"> — abstract</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c3.L1.a1</w:t>
            </w:r>
          </w:p>
        </w:tc>
        <w:tc>
          <w:tcPr>
            <w:tcW w:type="dxa" w:w="2592"/>
          </w:tcPr>
          <w:p>
            <w:pPr>
              <w:spacing w:after="0" w:before="0"/>
            </w:pPr>
            <w:r/>
            <w:r>
              <w:rPr>
                <w:rFonts w:ascii="Calibri" w:hAnsi="Calibri"/>
                <w:b/>
                <w:i w:val="0"/>
                <w:color w:val="142B4A"/>
                <w:sz w:val="16"/>
              </w:rPr>
              <w:t>PMID:17969867</w:t>
            </w:r>
            <w:r>
              <w:rPr>
                <w:rFonts w:ascii="Calibri" w:hAnsi="Calibri"/>
                <w:b w:val="0"/>
                <w:i w:val="0"/>
                <w:color w:val="595959"/>
                <w:sz w:val="16"/>
              </w:rPr>
              <w:t xml:space="preserve">  Lockley et al.</w:t>
            </w:r>
            <w:r>
              <w:rPr>
                <w:rFonts w:ascii="Calibri" w:hAnsi="Calibri"/>
                <w:b w:val="0"/>
                <w:i w:val="0"/>
                <w:sz w:val="16"/>
              </w:rPr>
              <w:br/>
              <w:t>Visual impairment and circadian rhythm disorders.</w:t>
            </w:r>
            <w:r>
              <w:rPr>
                <w:rFonts w:ascii="Calibri" w:hAnsi="Calibri"/>
                <w:b w:val="0"/>
                <w:i w:val="0"/>
                <w:color w:val="595959"/>
                <w:sz w:val="16"/>
              </w:rPr>
              <w:br/>
              <w:t>2007-12-31 · read on full text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“Blind people with NPL who complain of sleep disorders, particularly episodic or cyclic insomnia and daytime sleepiness, should be studied longitudinally to confirm a circadian disorder diagnosis”</w:t>
            </w:r>
            <w:r>
              <w:rPr>
                <w:rFonts w:ascii="Calibri" w:hAnsi="Calibri"/>
                <w:b w:val="0"/>
                <w:i w:val="0"/>
                <w:color w:val="595959"/>
                <w:sz w:val="16"/>
              </w:rPr>
              <w:t xml:space="preserve"> — Conclusion</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c3.L1.a1</w:t>
            </w:r>
          </w:p>
        </w:tc>
        <w:tc>
          <w:tcPr>
            <w:tcW w:type="dxa" w:w="2592"/>
            <w:shd w:val="clear" w:color="auto" w:fill="F4F6FA"/>
          </w:tcPr>
          <w:p>
            <w:pPr>
              <w:spacing w:after="0" w:before="0"/>
            </w:pPr>
            <w:r/>
            <w:r>
              <w:rPr>
                <w:rFonts w:ascii="Calibri" w:hAnsi="Calibri"/>
                <w:b/>
                <w:i w:val="0"/>
                <w:color w:val="142B4A"/>
                <w:sz w:val="16"/>
              </w:rPr>
              <w:t>PMID:17420154</w:t>
            </w:r>
            <w:r>
              <w:rPr>
                <w:rFonts w:ascii="Calibri" w:hAnsi="Calibri"/>
                <w:b w:val="0"/>
                <w:i w:val="0"/>
                <w:color w:val="595959"/>
                <w:sz w:val="16"/>
              </w:rPr>
              <w:t xml:space="preserve">  Skene et al.</w:t>
            </w:r>
            <w:r>
              <w:rPr>
                <w:rFonts w:ascii="Calibri" w:hAnsi="Calibri"/>
                <w:b w:val="0"/>
                <w:i w:val="0"/>
                <w:sz w:val="16"/>
              </w:rPr>
              <w:br/>
              <w:t>Circadian rhythm sleep disorders in the blind and their treatment with melatonin</w:t>
            </w:r>
            <w:r>
              <w:rPr>
                <w:rFonts w:ascii="Calibri" w:hAnsi="Calibri"/>
                <w:b w:val="0"/>
                <w:i w:val="0"/>
                <w:color w:val="595959"/>
                <w:sz w:val="16"/>
              </w:rPr>
              <w:br/>
              <w:t>2007-12-31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“People who are blind, in addition to having to cope with partial or no sight, have an added handicap; the transmission of ocular light from the retina to their circadian clock is impaired.”</w:t>
            </w:r>
            <w:r>
              <w:rPr>
                <w:rFonts w:ascii="Calibri" w:hAnsi="Calibri"/>
                <w:b w:val="0"/>
                <w:i w:val="0"/>
                <w:color w:val="595959"/>
                <w:sz w:val="16"/>
              </w:rPr>
              <w:t xml:space="preserve"> — abstract</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c3.L1.a1</w:t>
            </w:r>
          </w:p>
        </w:tc>
        <w:tc>
          <w:tcPr>
            <w:tcW w:type="dxa" w:w="2592"/>
          </w:tcPr>
          <w:p>
            <w:pPr>
              <w:spacing w:after="0" w:before="0"/>
            </w:pPr>
            <w:r/>
            <w:r>
              <w:rPr>
                <w:rFonts w:ascii="Calibri" w:hAnsi="Calibri"/>
                <w:b/>
                <w:i w:val="0"/>
                <w:color w:val="142B4A"/>
                <w:sz w:val="16"/>
              </w:rPr>
              <w:t>PMID:18482109</w:t>
            </w:r>
            <w:r>
              <w:rPr>
                <w:rFonts w:ascii="Calibri" w:hAnsi="Calibri"/>
                <w:b w:val="0"/>
                <w:i w:val="0"/>
                <w:color w:val="595959"/>
                <w:sz w:val="16"/>
              </w:rPr>
              <w:t xml:space="preserve">  Lockley et al.</w:t>
            </w:r>
            <w:r>
              <w:rPr>
                <w:rFonts w:ascii="Calibri" w:hAnsi="Calibri"/>
                <w:b w:val="0"/>
                <w:i w:val="0"/>
                <w:sz w:val="16"/>
              </w:rPr>
              <w:br/>
              <w:t>Alertness, mood and performance rhythm disturbances associated with circadian sleep…</w:t>
            </w:r>
            <w:r>
              <w:rPr>
                <w:rFonts w:ascii="Calibri" w:hAnsi="Calibri"/>
                <w:b w:val="0"/>
                <w:i w:val="0"/>
                <w:color w:val="595959"/>
                <w:sz w:val="16"/>
              </w:rPr>
              <w:br/>
              <w:t>2008-12-31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“The time course of alertness, mood and performance was assessed in 52 blind subjects with and without circadian rhythm disorders”</w:t>
            </w:r>
            <w:r>
              <w:rPr>
                <w:rFonts w:ascii="Calibri" w:hAnsi="Calibri"/>
                <w:b w:val="0"/>
                <w:i w:val="0"/>
                <w:color w:val="595959"/>
                <w:sz w:val="16"/>
              </w:rPr>
              <w:t xml:space="preserve"> — Abstract</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c3.L1.a1</w:t>
            </w:r>
          </w:p>
        </w:tc>
        <w:tc>
          <w:tcPr>
            <w:tcW w:type="dxa" w:w="2592"/>
            <w:shd w:val="clear" w:color="auto" w:fill="F4F6FA"/>
          </w:tcPr>
          <w:p>
            <w:pPr>
              <w:spacing w:after="0" w:before="0"/>
            </w:pPr>
            <w:r/>
            <w:r>
              <w:rPr>
                <w:rFonts w:ascii="Calibri" w:hAnsi="Calibri"/>
                <w:b/>
                <w:i w:val="0"/>
                <w:color w:val="142B4A"/>
                <w:sz w:val="16"/>
              </w:rPr>
              <w:t>PMID:26568125</w:t>
            </w:r>
            <w:r>
              <w:rPr>
                <w:rFonts w:ascii="Calibri" w:hAnsi="Calibri"/>
                <w:b w:val="0"/>
                <w:i w:val="0"/>
                <w:color w:val="595959"/>
                <w:sz w:val="16"/>
              </w:rPr>
              <w:t xml:space="preserve">  Uchiyama et al.</w:t>
            </w:r>
            <w:r>
              <w:rPr>
                <w:rFonts w:ascii="Calibri" w:hAnsi="Calibri"/>
                <w:b w:val="0"/>
                <w:i w:val="0"/>
                <w:sz w:val="16"/>
              </w:rPr>
              <w:br/>
              <w:t>Non-24-Hour Sleep-Wake Syndrome in Sighted and Blind Patients</w:t>
            </w:r>
            <w:r>
              <w:rPr>
                <w:rFonts w:ascii="Calibri" w:hAnsi="Calibri"/>
                <w:b w:val="0"/>
                <w:i w:val="0"/>
                <w:color w:val="595959"/>
                <w:sz w:val="16"/>
              </w:rPr>
              <w:br/>
              <w:t>2009-12-31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“It is more common in totally blind individuals owing to the lack of light information reaching the circadian pacemaker in the hypothalamus.”</w:t>
            </w:r>
            <w:r>
              <w:rPr>
                <w:rFonts w:ascii="Calibri" w:hAnsi="Calibri"/>
                <w:b w:val="0"/>
                <w:i w:val="0"/>
                <w:color w:val="595959"/>
                <w:sz w:val="16"/>
              </w:rPr>
              <w:t xml:space="preserve"> — Abstract</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c4.L1.a1</w:t>
            </w:r>
          </w:p>
        </w:tc>
        <w:tc>
          <w:tcPr>
            <w:tcW w:type="dxa" w:w="2592"/>
          </w:tcPr>
          <w:p>
            <w:pPr>
              <w:spacing w:after="0" w:before="0"/>
            </w:pPr>
            <w:r/>
            <w:r>
              <w:rPr>
                <w:rFonts w:ascii="Calibri" w:hAnsi="Calibri"/>
                <w:b/>
                <w:i w:val="0"/>
                <w:color w:val="142B4A"/>
                <w:sz w:val="16"/>
              </w:rPr>
              <w:t>PMID:19054552</w:t>
            </w:r>
            <w:r>
              <w:rPr>
                <w:rFonts w:ascii="Calibri" w:hAnsi="Calibri"/>
                <w:b w:val="0"/>
                <w:i w:val="0"/>
                <w:color w:val="595959"/>
                <w:sz w:val="16"/>
              </w:rPr>
              <w:t xml:space="preserve">  Rajaratnam et al.</w:t>
            </w:r>
            <w:r>
              <w:rPr>
                <w:rFonts w:ascii="Calibri" w:hAnsi="Calibri"/>
                <w:b w:val="0"/>
                <w:i w:val="0"/>
                <w:sz w:val="16"/>
              </w:rPr>
              <w:br/>
              <w:t>Melatonin agonist tasimelteon (VEC-162) for transient insomnia after sleep-time shift:…</w:t>
            </w:r>
            <w:r>
              <w:rPr>
                <w:rFonts w:ascii="Calibri" w:hAnsi="Calibri"/>
                <w:b w:val="0"/>
                <w:i w:val="0"/>
                <w:color w:val="595959"/>
                <w:sz w:val="16"/>
              </w:rPr>
              <w:br/>
              <w:t>2008-12-04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“tasimelteon (20 [n=100], 50 [n=102], or 100 mg [n=106]) or placebo (n=103) 30 min before bedtime”</w:t>
            </w:r>
            <w:r>
              <w:rPr>
                <w:rFonts w:ascii="Calibri" w:hAnsi="Calibri"/>
                <w:b w:val="0"/>
                <w:i w:val="0"/>
                <w:color w:val="595959"/>
                <w:sz w:val="16"/>
              </w:rPr>
              <w:t xml:space="preserve"> — Methods, phase III</w:t>
            </w:r>
          </w:p>
        </w:tc>
        <w:tc>
          <w:tcPr>
            <w:tcW w:type="dxa" w:w="1584"/>
          </w:tcPr>
          <w:p>
            <w:pPr>
              <w:spacing w:after="0" w:before="0"/>
            </w:pPr>
            <w:r/>
            <w:r>
              <w:rPr>
                <w:rFonts w:ascii="Calibri" w:hAnsi="Calibri"/>
                <w:b w:val="0"/>
                <w:i w:val="0"/>
                <w:sz w:val="16"/>
              </w:rPr>
              <w:t>alternative 2</w:t>
            </w:r>
          </w:p>
        </w:tc>
      </w:tr>
      <w:tr>
        <w:tc>
          <w:tcPr>
            <w:tcW w:type="dxa" w:w="720"/>
            <w:shd w:val="clear" w:color="auto" w:fill="F4F6FA"/>
          </w:tcPr>
          <w:p>
            <w:pPr>
              <w:spacing w:after="0" w:before="0"/>
            </w:pPr>
            <w:r/>
            <w:r>
              <w:rPr>
                <w:rFonts w:ascii="Calibri" w:hAnsi="Calibri"/>
                <w:b w:val="0"/>
                <w:i w:val="0"/>
                <w:sz w:val="16"/>
              </w:rPr>
              <w:t>c4.L1.a1</w:t>
            </w:r>
          </w:p>
        </w:tc>
        <w:tc>
          <w:tcPr>
            <w:tcW w:type="dxa" w:w="2592"/>
            <w:shd w:val="clear" w:color="auto" w:fill="F4F6FA"/>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r>
            <w:r>
              <w:rPr>
                <w:rFonts w:ascii="Calibri" w:hAnsi="Calibri"/>
                <w:b w:val="0"/>
                <w:i w:val="0"/>
                <w:sz w:val="16"/>
              </w:rPr>
              <w:br/>
              <w:t>Safety Study of Tasimelteon for Treatment of Non-24-Hour-Sleep-Wake Disorder in Blind…</w:t>
            </w:r>
            <w:r>
              <w:rPr>
                <w:rFonts w:ascii="Calibri" w:hAnsi="Calibri"/>
                <w:b w:val="0"/>
                <w:i w:val="0"/>
                <w:color w:val="595959"/>
                <w:sz w:val="16"/>
              </w:rPr>
              <w:br/>
              <w:t>2010-10-11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“patients will be asked to take 20 mg tasimelteon daily approximately 60 minutes prior to their target bedtime”</w:t>
            </w:r>
            <w:r>
              <w:rPr>
                <w:rFonts w:ascii="Calibri" w:hAnsi="Calibri"/>
                <w:b w:val="0"/>
                <w:i w:val="0"/>
                <w:color w:val="595959"/>
                <w:sz w:val="16"/>
              </w:rPr>
              <w:t xml:space="preserve"> — Study design paragraph</w:t>
            </w:r>
          </w:p>
        </w:tc>
        <w:tc>
          <w:tcPr>
            <w:tcW w:type="dxa" w:w="1584"/>
            <w:shd w:val="clear" w:color="auto" w:fill="F4F6FA"/>
          </w:tcPr>
          <w:p>
            <w:pPr>
              <w:spacing w:after="0" w:before="0"/>
            </w:pPr>
            <w:r/>
            <w:r>
              <w:rPr>
                <w:rFonts w:ascii="Calibri" w:hAnsi="Calibri"/>
                <w:b w:val="0"/>
                <w:i w:val="0"/>
                <w:sz w:val="16"/>
              </w:rPr>
              <w:t>in the combination</w:t>
            </w:r>
          </w:p>
        </w:tc>
      </w:tr>
      <w:tr>
        <w:tc>
          <w:tcPr>
            <w:tcW w:type="dxa" w:w="720"/>
          </w:tcPr>
          <w:p>
            <w:pPr>
              <w:spacing w:after="0" w:before="0"/>
            </w:pPr>
            <w:r/>
            <w:r>
              <w:rPr>
                <w:rFonts w:ascii="Calibri" w:hAnsi="Calibri"/>
                <w:b w:val="0"/>
                <w:i w:val="0"/>
                <w:sz w:val="16"/>
              </w:rPr>
              <w:t>c4.L1.a1</w:t>
            </w:r>
          </w:p>
        </w:tc>
        <w:tc>
          <w:tcPr>
            <w:tcW w:type="dxa" w:w="2592"/>
          </w:tcPr>
          <w:p>
            <w:pPr>
              <w:spacing w:after="0" w:before="0"/>
            </w:pPr>
            <w:r/>
            <w:r>
              <w:rPr>
                <w:rFonts w:ascii="Calibri" w:hAnsi="Calibri"/>
                <w:b/>
                <w:i w:val="0"/>
                <w:color w:val="142B4A"/>
                <w:sz w:val="16"/>
              </w:rPr>
              <w:t>NCT:NCT00291187 (ClinicalTrials.gov 2006)</w:t>
            </w:r>
            <w:r>
              <w:rPr>
                <w:rFonts w:ascii="Calibri" w:hAnsi="Calibri"/>
                <w:b w:val="0"/>
                <w:i w:val="0"/>
                <w:color w:val="595959"/>
                <w:sz w:val="16"/>
              </w:rPr>
            </w:r>
            <w:r>
              <w:rPr>
                <w:rFonts w:ascii="Calibri" w:hAnsi="Calibri"/>
                <w:b w:val="0"/>
                <w:i w:val="0"/>
                <w:sz w:val="16"/>
              </w:rPr>
              <w:br/>
              <w:t>VEC-162 Study in Healthy Adult Volunteers in a Model of Insomnia</w:t>
            </w:r>
            <w:r>
              <w:rPr>
                <w:rFonts w:ascii="Calibri" w:hAnsi="Calibri"/>
                <w:b w:val="0"/>
                <w:i w:val="0"/>
                <w:color w:val="595959"/>
                <w:sz w:val="16"/>
              </w:rPr>
              <w:br/>
              <w:t>2006-02-13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“20 mg VEC-162: 20 mg taken orally 30 minutes prior to bedtime.”</w:t>
            </w:r>
            <w:r>
              <w:rPr>
                <w:rFonts w:ascii="Calibri" w:hAnsi="Calibri"/>
                <w:b w:val="0"/>
                <w:i w:val="0"/>
                <w:color w:val="595959"/>
                <w:sz w:val="16"/>
              </w:rPr>
              <w:t xml:space="preserve"> — Intervention description</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c4.L1.a1</w:t>
            </w:r>
          </w:p>
        </w:tc>
        <w:tc>
          <w:tcPr>
            <w:tcW w:type="dxa" w:w="2592"/>
            <w:shd w:val="clear" w:color="auto" w:fill="F4F6FA"/>
          </w:tcPr>
          <w:p>
            <w:pPr>
              <w:spacing w:after="0" w:before="0"/>
            </w:pPr>
            <w:r/>
            <w:r>
              <w:rPr>
                <w:rFonts w:ascii="Calibri" w:hAnsi="Calibri"/>
                <w:b/>
                <w:i w:val="0"/>
                <w:color w:val="142B4A"/>
                <w:sz w:val="16"/>
              </w:rPr>
              <w:t>NCT:NCT01163032 (ClinicalTrials.gov 2010)</w:t>
            </w:r>
            <w:r>
              <w:rPr>
                <w:rFonts w:ascii="Calibri" w:hAnsi="Calibri"/>
                <w:b w:val="0"/>
                <w:i w:val="0"/>
                <w:color w:val="595959"/>
                <w:sz w:val="16"/>
              </w:rPr>
            </w:r>
            <w:r>
              <w:rPr>
                <w:rFonts w:ascii="Calibri" w:hAnsi="Calibri"/>
                <w:b w:val="0"/>
                <w:i w:val="0"/>
                <w:sz w:val="16"/>
              </w:rPr>
              <w:br/>
              <w:t>Efficacy and Safety of Tasimelteon Compared With Placebo in Totally Blind Subjects With…</w:t>
            </w:r>
            <w:r>
              <w:rPr>
                <w:rFonts w:ascii="Calibri" w:hAnsi="Calibri"/>
                <w:b w:val="0"/>
                <w:i w:val="0"/>
                <w:color w:val="595959"/>
                <w:sz w:val="16"/>
              </w:rPr>
              <w:br/>
              <w:t>2010-07-15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“subjects will be asked to take either 20 mg tasimelteon or placebo approximately 1 hour prior to their target bedtime”</w:t>
            </w:r>
            <w:r>
              <w:rPr>
                <w:rFonts w:ascii="Calibri" w:hAnsi="Calibri"/>
                <w:b w:val="0"/>
                <w:i w:val="0"/>
                <w:color w:val="595959"/>
                <w:sz w:val="16"/>
              </w:rPr>
              <w:t xml:space="preserve"> — Randomization phase description</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c4.L1.a1</w:t>
            </w:r>
          </w:p>
        </w:tc>
        <w:tc>
          <w:tcPr>
            <w:tcW w:type="dxa" w:w="2592"/>
          </w:tcPr>
          <w:p>
            <w:pPr>
              <w:spacing w:after="0" w:before="0"/>
            </w:pPr>
            <w:r/>
            <w:r>
              <w:rPr>
                <w:rFonts w:ascii="Calibri" w:hAnsi="Calibri"/>
                <w:b/>
                <w:i w:val="0"/>
                <w:color w:val="142B4A"/>
                <w:sz w:val="16"/>
              </w:rPr>
              <w:t>NCT:NCT01429116 (ClinicalTrials.gov 2011)</w:t>
            </w:r>
            <w:r>
              <w:rPr>
                <w:rFonts w:ascii="Calibri" w:hAnsi="Calibri"/>
                <w:b w:val="0"/>
                <w:i w:val="0"/>
                <w:color w:val="595959"/>
                <w:sz w:val="16"/>
              </w:rPr>
            </w:r>
            <w:r>
              <w:rPr>
                <w:rFonts w:ascii="Calibri" w:hAnsi="Calibri"/>
                <w:b w:val="0"/>
                <w:i w:val="0"/>
                <w:sz w:val="16"/>
              </w:rPr>
              <w:br/>
              <w:t>Tasimelteon for the Treatment of Non-24-hour Sleep-Wake Disorder (N24HSWD) in Blind…</w:t>
            </w:r>
            <w:r>
              <w:rPr>
                <w:rFonts w:ascii="Calibri" w:hAnsi="Calibri"/>
                <w:b w:val="0"/>
                <w:i w:val="0"/>
                <w:color w:val="595959"/>
                <w:sz w:val="16"/>
              </w:rPr>
              <w:br/>
              <w:t>2011-09-05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“20 mg tasimelteon capsules, PO daily for 24 months”</w:t>
            </w:r>
            <w:r>
              <w:rPr>
                <w:rFonts w:ascii="Calibri" w:hAnsi="Calibri"/>
                <w:b w:val="0"/>
                <w:i w:val="0"/>
                <w:color w:val="595959"/>
                <w:sz w:val="16"/>
              </w:rPr>
              <w:t xml:space="preserve"> — Arms/Interventions</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c4.L1.a1</w:t>
            </w:r>
          </w:p>
        </w:tc>
        <w:tc>
          <w:tcPr>
            <w:tcW w:type="dxa" w:w="2592"/>
            <w:shd w:val="clear" w:color="auto" w:fill="F4F6FA"/>
          </w:tcPr>
          <w:p>
            <w:pPr>
              <w:spacing w:after="0" w:before="0"/>
            </w:pPr>
            <w:r/>
            <w:r>
              <w:rPr>
                <w:rFonts w:ascii="Calibri" w:hAnsi="Calibri"/>
                <w:b/>
                <w:i w:val="0"/>
                <w:color w:val="142B4A"/>
                <w:sz w:val="16"/>
              </w:rPr>
              <w:t>NCT:NCT01430754 (ClinicalTrials.gov 2011)</w:t>
            </w:r>
            <w:r>
              <w:rPr>
                <w:rFonts w:ascii="Calibri" w:hAnsi="Calibri"/>
                <w:b w:val="0"/>
                <w:i w:val="0"/>
                <w:color w:val="595959"/>
                <w:sz w:val="16"/>
              </w:rPr>
            </w:r>
            <w:r>
              <w:rPr>
                <w:rFonts w:ascii="Calibri" w:hAnsi="Calibri"/>
                <w:b w:val="0"/>
                <w:i w:val="0"/>
                <w:sz w:val="16"/>
              </w:rPr>
              <w:br/>
              <w:t>Withdrawal Study to Demonstrate the Maintenance Effect in the Treatment of Non-24-Hour…</w:t>
            </w:r>
            <w:r>
              <w:rPr>
                <w:rFonts w:ascii="Calibri" w:hAnsi="Calibri"/>
                <w:b w:val="0"/>
                <w:i w:val="0"/>
                <w:color w:val="595959"/>
                <w:sz w:val="16"/>
              </w:rPr>
              <w:br/>
              <w:t>2011-09-08 · read on abstract</w:t>
            </w:r>
          </w:p>
        </w:tc>
        <w:tc>
          <w:tcPr>
            <w:tcW w:type="dxa" w:w="1296"/>
            <w:shd w:val="clear" w:color="auto" w:fill="F4F6FA"/>
          </w:tcPr>
          <w:p>
            <w:pPr>
              <w:spacing w:after="0" w:before="0"/>
            </w:pPr>
            <w:r/>
            <w:r>
              <w:rPr>
                <w:rFonts w:ascii="Calibri" w:hAnsi="Calibri"/>
                <w:b/>
                <w:i w:val="0"/>
                <w:color w:val="142B4A"/>
                <w:sz w:val="16"/>
              </w:rPr>
              <w:t>PARTIAL</w:t>
            </w:r>
          </w:p>
        </w:tc>
        <w:tc>
          <w:tcPr>
            <w:tcW w:type="dxa" w:w="4032"/>
            <w:shd w:val="clear" w:color="auto" w:fill="F4F6FA"/>
          </w:tcPr>
          <w:p>
            <w:pPr>
              <w:spacing w:after="0" w:before="0"/>
            </w:pPr>
            <w:r/>
            <w:r>
              <w:rPr>
                <w:rFonts w:ascii="Calibri" w:hAnsi="Calibri"/>
                <w:b w:val="0"/>
                <w:i w:val="0"/>
                <w:sz w:val="16"/>
              </w:rPr>
              <w:t>“will be dosed with 20 mg of tasimelteon daily for 6 weeks.”</w:t>
            </w:r>
            <w:r>
              <w:rPr>
                <w:rFonts w:ascii="Calibri" w:hAnsi="Calibri"/>
                <w:b w:val="0"/>
                <w:i w:val="0"/>
                <w:color w:val="595959"/>
                <w:sz w:val="16"/>
              </w:rPr>
              <w:t xml:space="preserve"> — run-in phase</w:t>
            </w:r>
          </w:p>
        </w:tc>
        <w:tc>
          <w:tcPr>
            <w:tcW w:type="dxa" w:w="1584"/>
            <w:shd w:val="clear" w:color="auto" w:fill="F4F6FA"/>
          </w:tcPr>
          <w:p>
            <w:pPr>
              <w:spacing w:after="0" w:before="0"/>
            </w:pPr>
            <w:r/>
            <w:r>
              <w:rPr>
                <w:rFonts w:ascii="Calibri" w:hAnsi="Calibri"/>
                <w:b w:val="0"/>
                <w:i w:val="0"/>
                <w:sz w:val="16"/>
              </w:rPr>
              <w:t>alternative 1</w:t>
            </w:r>
          </w:p>
        </w:tc>
      </w:tr>
      <w:tr>
        <w:tc>
          <w:tcPr>
            <w:tcW w:type="dxa" w:w="720"/>
          </w:tcPr>
          <w:p>
            <w:pPr>
              <w:spacing w:after="0" w:before="0"/>
            </w:pPr>
            <w:r/>
            <w:r>
              <w:rPr>
                <w:rFonts w:ascii="Calibri" w:hAnsi="Calibri"/>
                <w:b w:val="0"/>
                <w:i w:val="0"/>
                <w:sz w:val="16"/>
              </w:rPr>
              <w:t>c4.L2.a1</w:t>
            </w:r>
          </w:p>
        </w:tc>
        <w:tc>
          <w:tcPr>
            <w:tcW w:type="dxa" w:w="2592"/>
          </w:tcPr>
          <w:p>
            <w:pPr>
              <w:spacing w:after="0" w:before="0"/>
            </w:pPr>
            <w:r/>
            <w:r>
              <w:rPr>
                <w:rFonts w:ascii="Calibri" w:hAnsi="Calibri"/>
                <w:b/>
                <w:i w:val="0"/>
                <w:color w:val="142B4A"/>
                <w:sz w:val="16"/>
              </w:rPr>
              <w:t>PMID:19054552</w:t>
            </w:r>
            <w:r>
              <w:rPr>
                <w:rFonts w:ascii="Calibri" w:hAnsi="Calibri"/>
                <w:b w:val="0"/>
                <w:i w:val="0"/>
                <w:color w:val="595959"/>
                <w:sz w:val="16"/>
              </w:rPr>
              <w:t xml:space="preserve">  Rajaratnam et al.</w:t>
            </w:r>
            <w:r>
              <w:rPr>
                <w:rFonts w:ascii="Calibri" w:hAnsi="Calibri"/>
                <w:b w:val="0"/>
                <w:i w:val="0"/>
                <w:sz w:val="16"/>
              </w:rPr>
              <w:br/>
              <w:t>Melatonin agonist tasimelteon (VEC-162) for transient insomnia after sleep-time shift:…</w:t>
            </w:r>
            <w:r>
              <w:rPr>
                <w:rFonts w:ascii="Calibri" w:hAnsi="Calibri"/>
                <w:b w:val="0"/>
                <w:i w:val="0"/>
                <w:color w:val="595959"/>
                <w:sz w:val="16"/>
              </w:rPr>
              <w:br/>
              <w:t>2008-12-04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“tasimelteon (20 [n=100], 50 [n=102], or 100 mg [n=106]) or placebo (n=103) 30 min before bedtime”</w:t>
            </w:r>
            <w:r>
              <w:rPr>
                <w:rFonts w:ascii="Calibri" w:hAnsi="Calibri"/>
                <w:b w:val="0"/>
                <w:i w:val="0"/>
                <w:color w:val="595959"/>
                <w:sz w:val="16"/>
              </w:rPr>
              <w:t xml:space="preserve"> — Methods, phase III</w:t>
            </w:r>
          </w:p>
        </w:tc>
        <w:tc>
          <w:tcPr>
            <w:tcW w:type="dxa" w:w="1584"/>
          </w:tcPr>
          <w:p>
            <w:pPr>
              <w:spacing w:after="0" w:before="0"/>
            </w:pPr>
            <w:r/>
            <w:r>
              <w:rPr>
                <w:rFonts w:ascii="Calibri" w:hAnsi="Calibri"/>
                <w:b w:val="0"/>
                <w:i w:val="0"/>
                <w:sz w:val="16"/>
              </w:rPr>
              <w:t>alternative 2</w:t>
            </w:r>
          </w:p>
        </w:tc>
      </w:tr>
      <w:tr>
        <w:tc>
          <w:tcPr>
            <w:tcW w:type="dxa" w:w="720"/>
            <w:shd w:val="clear" w:color="auto" w:fill="F4F6FA"/>
          </w:tcPr>
          <w:p>
            <w:pPr>
              <w:spacing w:after="0" w:before="0"/>
            </w:pPr>
            <w:r/>
            <w:r>
              <w:rPr>
                <w:rFonts w:ascii="Calibri" w:hAnsi="Calibri"/>
                <w:b w:val="0"/>
                <w:i w:val="0"/>
                <w:sz w:val="16"/>
              </w:rPr>
              <w:t>c4.L2.a1</w:t>
            </w:r>
          </w:p>
        </w:tc>
        <w:tc>
          <w:tcPr>
            <w:tcW w:type="dxa" w:w="2592"/>
            <w:shd w:val="clear" w:color="auto" w:fill="F4F6FA"/>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r>
            <w:r>
              <w:rPr>
                <w:rFonts w:ascii="Calibri" w:hAnsi="Calibri"/>
                <w:b w:val="0"/>
                <w:i w:val="0"/>
                <w:sz w:val="16"/>
              </w:rPr>
              <w:br/>
              <w:t>Safety Study of Tasimelteon for Treatment of Non-24-Hour-Sleep-Wake Disorder in Blind…</w:t>
            </w:r>
            <w:r>
              <w:rPr>
                <w:rFonts w:ascii="Calibri" w:hAnsi="Calibri"/>
                <w:b w:val="0"/>
                <w:i w:val="0"/>
                <w:color w:val="595959"/>
                <w:sz w:val="16"/>
              </w:rPr>
              <w:br/>
              <w:t>2010-10-11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“20 mg tasimelteon capsules, PO daily for 1 year”</w:t>
            </w:r>
            <w:r>
              <w:rPr>
                <w:rFonts w:ascii="Calibri" w:hAnsi="Calibri"/>
                <w:b w:val="0"/>
                <w:i w:val="0"/>
                <w:color w:val="595959"/>
                <w:sz w:val="16"/>
              </w:rPr>
              <w:t xml:space="preserve"> — Arms/Interventions</w:t>
            </w:r>
          </w:p>
        </w:tc>
        <w:tc>
          <w:tcPr>
            <w:tcW w:type="dxa" w:w="1584"/>
            <w:shd w:val="clear" w:color="auto" w:fill="F4F6FA"/>
          </w:tcPr>
          <w:p>
            <w:pPr>
              <w:spacing w:after="0" w:before="0"/>
            </w:pPr>
            <w:r/>
            <w:r>
              <w:rPr>
                <w:rFonts w:ascii="Calibri" w:hAnsi="Calibri"/>
                <w:b w:val="0"/>
                <w:i w:val="0"/>
                <w:sz w:val="16"/>
              </w:rPr>
              <w:t>in the combination</w:t>
            </w:r>
          </w:p>
        </w:tc>
      </w:tr>
      <w:tr>
        <w:tc>
          <w:tcPr>
            <w:tcW w:type="dxa" w:w="720"/>
          </w:tcPr>
          <w:p>
            <w:pPr>
              <w:spacing w:after="0" w:before="0"/>
            </w:pPr>
            <w:r/>
            <w:r>
              <w:rPr>
                <w:rFonts w:ascii="Calibri" w:hAnsi="Calibri"/>
                <w:b w:val="0"/>
                <w:i w:val="0"/>
                <w:sz w:val="16"/>
              </w:rPr>
              <w:t>c4.L2.a1</w:t>
            </w:r>
          </w:p>
        </w:tc>
        <w:tc>
          <w:tcPr>
            <w:tcW w:type="dxa" w:w="2592"/>
          </w:tcPr>
          <w:p>
            <w:pPr>
              <w:spacing w:after="0" w:before="0"/>
            </w:pPr>
            <w:r/>
            <w:r>
              <w:rPr>
                <w:rFonts w:ascii="Calibri" w:hAnsi="Calibri"/>
                <w:b/>
                <w:i w:val="0"/>
                <w:color w:val="142B4A"/>
                <w:sz w:val="16"/>
              </w:rPr>
              <w:t>NCT:NCT01430754 (ClinicalTrials.gov 2011)</w:t>
            </w:r>
            <w:r>
              <w:rPr>
                <w:rFonts w:ascii="Calibri" w:hAnsi="Calibri"/>
                <w:b w:val="0"/>
                <w:i w:val="0"/>
                <w:color w:val="595959"/>
                <w:sz w:val="16"/>
              </w:rPr>
            </w:r>
            <w:r>
              <w:rPr>
                <w:rFonts w:ascii="Calibri" w:hAnsi="Calibri"/>
                <w:b w:val="0"/>
                <w:i w:val="0"/>
                <w:sz w:val="16"/>
              </w:rPr>
              <w:br/>
              <w:t>Withdrawal Study to Demonstrate the Maintenance Effect in the Treatment of Non-24-Hour…</w:t>
            </w:r>
            <w:r>
              <w:rPr>
                <w:rFonts w:ascii="Calibri" w:hAnsi="Calibri"/>
                <w:b w:val="0"/>
                <w:i w:val="0"/>
                <w:color w:val="595959"/>
                <w:sz w:val="16"/>
              </w:rPr>
              <w:br/>
              <w:t>2011-09-08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“20 mg tasimelteon capsules”</w:t>
            </w:r>
            <w:r>
              <w:rPr>
                <w:rFonts w:ascii="Calibri" w:hAnsi="Calibri"/>
                <w:b w:val="0"/>
                <w:i w:val="0"/>
                <w:color w:val="595959"/>
                <w:sz w:val="16"/>
              </w:rPr>
              <w:t xml:space="preserve"> — intervention description</w:t>
            </w:r>
          </w:p>
        </w:tc>
        <w:tc>
          <w:tcPr>
            <w:tcW w:type="dxa" w:w="1584"/>
          </w:tcPr>
          <w:p>
            <w:pPr>
              <w:spacing w:after="0" w:before="0"/>
            </w:pPr>
            <w:r/>
            <w:r>
              <w:rPr>
                <w:rFonts w:ascii="Calibri" w:hAnsi="Calibri"/>
                <w:b w:val="0"/>
                <w:i w:val="0"/>
                <w:sz w:val="16"/>
              </w:rPr>
              <w:t>alternative 1</w:t>
            </w:r>
          </w:p>
        </w:tc>
      </w:tr>
      <w:tr>
        <w:tc>
          <w:tcPr>
            <w:tcW w:type="dxa" w:w="720"/>
            <w:shd w:val="clear" w:color="auto" w:fill="F4F6FA"/>
          </w:tcPr>
          <w:p>
            <w:pPr>
              <w:spacing w:after="0" w:before="0"/>
            </w:pPr>
            <w:r/>
            <w:r>
              <w:rPr>
                <w:rFonts w:ascii="Calibri" w:hAnsi="Calibri"/>
                <w:b w:val="0"/>
                <w:i w:val="0"/>
                <w:sz w:val="16"/>
              </w:rPr>
              <w:t>c4.L2.a1</w:t>
            </w:r>
          </w:p>
        </w:tc>
        <w:tc>
          <w:tcPr>
            <w:tcW w:type="dxa" w:w="2592"/>
            <w:shd w:val="clear" w:color="auto" w:fill="F4F6FA"/>
          </w:tcPr>
          <w:p>
            <w:pPr>
              <w:spacing w:after="0" w:before="0"/>
            </w:pPr>
            <w:r/>
            <w:r>
              <w:rPr>
                <w:rFonts w:ascii="Calibri" w:hAnsi="Calibri"/>
                <w:b/>
                <w:i w:val="0"/>
                <w:color w:val="142B4A"/>
                <w:sz w:val="16"/>
              </w:rPr>
              <w:t>NCT:NCT00291187 (ClinicalTrials.gov 2006)</w:t>
            </w:r>
            <w:r>
              <w:rPr>
                <w:rFonts w:ascii="Calibri" w:hAnsi="Calibri"/>
                <w:b w:val="0"/>
                <w:i w:val="0"/>
                <w:color w:val="595959"/>
                <w:sz w:val="16"/>
              </w:rPr>
            </w:r>
            <w:r>
              <w:rPr>
                <w:rFonts w:ascii="Calibri" w:hAnsi="Calibri"/>
                <w:b w:val="0"/>
                <w:i w:val="0"/>
                <w:sz w:val="16"/>
              </w:rPr>
              <w:br/>
              <w:t>VEC-162 Study in Healthy Adult Volunteers in a Model of Insomnia</w:t>
            </w:r>
            <w:r>
              <w:rPr>
                <w:rFonts w:ascii="Calibri" w:hAnsi="Calibri"/>
                <w:b w:val="0"/>
                <w:i w:val="0"/>
                <w:color w:val="595959"/>
                <w:sz w:val="16"/>
              </w:rPr>
              <w:br/>
              <w:t>2006-02-13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“20 mg VEC-162: 20 mg taken orally 30 minutes prior to bedtime.”</w:t>
            </w:r>
            <w:r>
              <w:rPr>
                <w:rFonts w:ascii="Calibri" w:hAnsi="Calibri"/>
                <w:b w:val="0"/>
                <w:i w:val="0"/>
                <w:color w:val="595959"/>
                <w:sz w:val="16"/>
              </w:rPr>
              <w:t xml:space="preserve"> — Intervention description</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c4.L2.a1</w:t>
            </w:r>
          </w:p>
        </w:tc>
        <w:tc>
          <w:tcPr>
            <w:tcW w:type="dxa" w:w="2592"/>
          </w:tcPr>
          <w:p>
            <w:pPr>
              <w:spacing w:after="0" w:before="0"/>
            </w:pPr>
            <w:r/>
            <w:r>
              <w:rPr>
                <w:rFonts w:ascii="Calibri" w:hAnsi="Calibri"/>
                <w:b/>
                <w:i w:val="0"/>
                <w:color w:val="142B4A"/>
                <w:sz w:val="16"/>
              </w:rPr>
              <w:t>NCT:NCT01163032 (ClinicalTrials.gov 2010)</w:t>
            </w:r>
            <w:r>
              <w:rPr>
                <w:rFonts w:ascii="Calibri" w:hAnsi="Calibri"/>
                <w:b w:val="0"/>
                <w:i w:val="0"/>
                <w:color w:val="595959"/>
                <w:sz w:val="16"/>
              </w:rPr>
            </w:r>
            <w:r>
              <w:rPr>
                <w:rFonts w:ascii="Calibri" w:hAnsi="Calibri"/>
                <w:b w:val="0"/>
                <w:i w:val="0"/>
                <w:sz w:val="16"/>
              </w:rPr>
              <w:br/>
              <w:t>Efficacy and Safety of Tasimelteon Compared With Placebo in Totally Blind Subjects With…</w:t>
            </w:r>
            <w:r>
              <w:rPr>
                <w:rFonts w:ascii="Calibri" w:hAnsi="Calibri"/>
                <w:b w:val="0"/>
                <w:i w:val="0"/>
                <w:color w:val="595959"/>
                <w:sz w:val="16"/>
              </w:rPr>
              <w:br/>
              <w:t>2010-07-15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“20 mg tasimelteon capsules, PO daily for 6 months”</w:t>
            </w:r>
            <w:r>
              <w:rPr>
                <w:rFonts w:ascii="Calibri" w:hAnsi="Calibri"/>
                <w:b w:val="0"/>
                <w:i w:val="0"/>
                <w:color w:val="595959"/>
                <w:sz w:val="16"/>
              </w:rPr>
              <w:t xml:space="preserve"> — Arms/Interventions</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c4.L2.a1</w:t>
            </w:r>
          </w:p>
        </w:tc>
        <w:tc>
          <w:tcPr>
            <w:tcW w:type="dxa" w:w="2592"/>
            <w:shd w:val="clear" w:color="auto" w:fill="F4F6FA"/>
          </w:tcPr>
          <w:p>
            <w:pPr>
              <w:spacing w:after="0" w:before="0"/>
            </w:pPr>
            <w:r/>
            <w:r>
              <w:rPr>
                <w:rFonts w:ascii="Calibri" w:hAnsi="Calibri"/>
                <w:b/>
                <w:i w:val="0"/>
                <w:color w:val="142B4A"/>
                <w:sz w:val="16"/>
              </w:rPr>
              <w:t>NCT:NCT01402076 (ClinicalTrials.gov 2011)</w:t>
            </w:r>
            <w:r>
              <w:rPr>
                <w:rFonts w:ascii="Calibri" w:hAnsi="Calibri"/>
                <w:b w:val="0"/>
                <w:i w:val="0"/>
                <w:color w:val="595959"/>
                <w:sz w:val="16"/>
              </w:rPr>
            </w:r>
            <w:r>
              <w:rPr>
                <w:rFonts w:ascii="Calibri" w:hAnsi="Calibri"/>
                <w:b w:val="0"/>
                <w:i w:val="0"/>
                <w:sz w:val="16"/>
              </w:rPr>
              <w:br/>
              <w:t>A Study to Assess the Effect Tasimelteon on the Cytochrome P450 3A4 and 2C8 Enzymes in…</w:t>
            </w:r>
            <w:r>
              <w:rPr>
                <w:rFonts w:ascii="Calibri" w:hAnsi="Calibri"/>
                <w:b w:val="0"/>
                <w:i w:val="0"/>
                <w:color w:val="595959"/>
                <w:sz w:val="16"/>
              </w:rPr>
              <w:br/>
              <w:t>2011-07-26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“Tasimelteon: 20mg daily dosing, Days 4-20”</w:t>
            </w:r>
            <w:r>
              <w:rPr>
                <w:rFonts w:ascii="Calibri" w:hAnsi="Calibri"/>
                <w:b w:val="0"/>
                <w:i w:val="0"/>
                <w:color w:val="595959"/>
                <w:sz w:val="16"/>
              </w:rPr>
              <w:t xml:space="preserve"> — Steady State PK Group</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c4.L3.a1</w:t>
            </w:r>
          </w:p>
        </w:tc>
        <w:tc>
          <w:tcPr>
            <w:tcW w:type="dxa" w:w="2592"/>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r>
            <w:r>
              <w:rPr>
                <w:rFonts w:ascii="Calibri" w:hAnsi="Calibri"/>
                <w:b w:val="0"/>
                <w:i w:val="0"/>
                <w:sz w:val="16"/>
              </w:rPr>
              <w:br/>
              <w:t>Safety Study of Tasimelteon for Treatment of Non-24-Hour-Sleep-Wake Disorder in Blind…</w:t>
            </w:r>
            <w:r>
              <w:rPr>
                <w:rFonts w:ascii="Calibri" w:hAnsi="Calibri"/>
                <w:b w:val="0"/>
                <w:i w:val="0"/>
                <w:color w:val="595959"/>
                <w:sz w:val="16"/>
              </w:rPr>
              <w:br/>
              <w:t>2010-10-11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“20 mg tasimelteon capsules, PO daily for 1 year”</w:t>
            </w:r>
            <w:r>
              <w:rPr>
                <w:rFonts w:ascii="Calibri" w:hAnsi="Calibri"/>
                <w:b w:val="0"/>
                <w:i w:val="0"/>
                <w:color w:val="595959"/>
                <w:sz w:val="16"/>
              </w:rPr>
              <w:t xml:space="preserve"> — Arms/Interventions</w:t>
            </w:r>
          </w:p>
        </w:tc>
        <w:tc>
          <w:tcPr>
            <w:tcW w:type="dxa" w:w="1584"/>
          </w:tcPr>
          <w:p>
            <w:pPr>
              <w:spacing w:after="0" w:before="0"/>
            </w:pPr>
            <w:r/>
            <w:r>
              <w:rPr>
                <w:rFonts w:ascii="Calibri" w:hAnsi="Calibri"/>
                <w:b w:val="0"/>
                <w:i w:val="0"/>
                <w:sz w:val="16"/>
              </w:rPr>
              <w:t>in the combination</w:t>
            </w:r>
          </w:p>
        </w:tc>
      </w:tr>
      <w:tr>
        <w:tc>
          <w:tcPr>
            <w:tcW w:type="dxa" w:w="720"/>
            <w:shd w:val="clear" w:color="auto" w:fill="F4F6FA"/>
          </w:tcPr>
          <w:p>
            <w:pPr>
              <w:spacing w:after="0" w:before="0"/>
            </w:pPr>
            <w:r/>
            <w:r>
              <w:rPr>
                <w:rFonts w:ascii="Calibri" w:hAnsi="Calibri"/>
                <w:b w:val="0"/>
                <w:i w:val="0"/>
                <w:sz w:val="16"/>
              </w:rPr>
              <w:t>c4.L3.a1</w:t>
            </w:r>
          </w:p>
        </w:tc>
        <w:tc>
          <w:tcPr>
            <w:tcW w:type="dxa" w:w="2592"/>
            <w:shd w:val="clear" w:color="auto" w:fill="F4F6FA"/>
          </w:tcPr>
          <w:p>
            <w:pPr>
              <w:spacing w:after="0" w:before="0"/>
            </w:pPr>
            <w:r/>
            <w:r>
              <w:rPr>
                <w:rFonts w:ascii="Calibri" w:hAnsi="Calibri"/>
                <w:b/>
                <w:i w:val="0"/>
                <w:color w:val="142B4A"/>
                <w:sz w:val="16"/>
              </w:rPr>
              <w:t>NCT:NCT01430754 (ClinicalTrials.gov 2011)</w:t>
            </w:r>
            <w:r>
              <w:rPr>
                <w:rFonts w:ascii="Calibri" w:hAnsi="Calibri"/>
                <w:b w:val="0"/>
                <w:i w:val="0"/>
                <w:color w:val="595959"/>
                <w:sz w:val="16"/>
              </w:rPr>
            </w:r>
            <w:r>
              <w:rPr>
                <w:rFonts w:ascii="Calibri" w:hAnsi="Calibri"/>
                <w:b w:val="0"/>
                <w:i w:val="0"/>
                <w:sz w:val="16"/>
              </w:rPr>
              <w:br/>
              <w:t>Withdrawal Study to Demonstrate the Maintenance Effect in the Treatment of Non-24-Hour…</w:t>
            </w:r>
            <w:r>
              <w:rPr>
                <w:rFonts w:ascii="Calibri" w:hAnsi="Calibri"/>
                <w:b w:val="0"/>
                <w:i w:val="0"/>
                <w:color w:val="595959"/>
                <w:sz w:val="16"/>
              </w:rPr>
              <w:br/>
              <w:t>2011-09-08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“20 mg tasimelteon capsules, daily”</w:t>
            </w:r>
            <w:r>
              <w:rPr>
                <w:rFonts w:ascii="Calibri" w:hAnsi="Calibri"/>
                <w:b w:val="0"/>
                <w:i w:val="0"/>
                <w:color w:val="595959"/>
                <w:sz w:val="16"/>
              </w:rPr>
              <w:t xml:space="preserve"> — intervention description</w:t>
            </w:r>
          </w:p>
        </w:tc>
        <w:tc>
          <w:tcPr>
            <w:tcW w:type="dxa" w:w="1584"/>
            <w:shd w:val="clear" w:color="auto" w:fill="F4F6FA"/>
          </w:tcPr>
          <w:p>
            <w:pPr>
              <w:spacing w:after="0" w:before="0"/>
            </w:pPr>
            <w:r/>
            <w:r>
              <w:rPr>
                <w:rFonts w:ascii="Calibri" w:hAnsi="Calibri"/>
                <w:b w:val="0"/>
                <w:i w:val="0"/>
                <w:sz w:val="16"/>
              </w:rPr>
              <w:t>alternative 1</w:t>
            </w:r>
          </w:p>
        </w:tc>
      </w:tr>
      <w:tr>
        <w:tc>
          <w:tcPr>
            <w:tcW w:type="dxa" w:w="720"/>
          </w:tcPr>
          <w:p>
            <w:pPr>
              <w:spacing w:after="0" w:before="0"/>
            </w:pPr>
            <w:r/>
            <w:r>
              <w:rPr>
                <w:rFonts w:ascii="Calibri" w:hAnsi="Calibri"/>
                <w:b w:val="0"/>
                <w:i w:val="0"/>
                <w:sz w:val="16"/>
              </w:rPr>
              <w:t>c4.L3.a1</w:t>
            </w:r>
          </w:p>
        </w:tc>
        <w:tc>
          <w:tcPr>
            <w:tcW w:type="dxa" w:w="2592"/>
          </w:tcPr>
          <w:p>
            <w:pPr>
              <w:spacing w:after="0" w:before="0"/>
            </w:pPr>
            <w:r/>
            <w:r>
              <w:rPr>
                <w:rFonts w:ascii="Calibri" w:hAnsi="Calibri"/>
                <w:b/>
                <w:i w:val="0"/>
                <w:color w:val="142B4A"/>
                <w:sz w:val="16"/>
              </w:rPr>
              <w:t>PMID:16709464</w:t>
            </w:r>
            <w:r>
              <w:rPr>
                <w:rFonts w:ascii="Calibri" w:hAnsi="Calibri"/>
                <w:b w:val="0"/>
                <w:i w:val="0"/>
                <w:color w:val="595959"/>
                <w:sz w:val="16"/>
              </w:rPr>
              <w:t xml:space="preserve">  Roth et al.</w:t>
            </w:r>
            <w:r>
              <w:rPr>
                <w:rFonts w:ascii="Calibri" w:hAnsi="Calibri"/>
                <w:b w:val="0"/>
                <w:i w:val="0"/>
                <w:sz w:val="16"/>
              </w:rPr>
              <w:br/>
              <w:t>Effects of ramelteon on patient-reported sleep latency in older adults with chronic…</w:t>
            </w:r>
            <w:r>
              <w:rPr>
                <w:rFonts w:ascii="Calibri" w:hAnsi="Calibri"/>
                <w:b w:val="0"/>
                <w:i w:val="0"/>
                <w:color w:val="595959"/>
                <w:sz w:val="16"/>
              </w:rPr>
              <w:br/>
              <w:t>2006-05-20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“were taken nightly for five weeks”</w:t>
            </w:r>
            <w:r>
              <w:rPr>
                <w:rFonts w:ascii="Calibri" w:hAnsi="Calibri"/>
                <w:b w:val="0"/>
                <w:i w:val="0"/>
                <w:color w:val="595959"/>
                <w:sz w:val="16"/>
              </w:rPr>
              <w:t xml:space="preserve"> — Patients and methods</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c4.L3.a1</w:t>
            </w:r>
          </w:p>
        </w:tc>
        <w:tc>
          <w:tcPr>
            <w:tcW w:type="dxa" w:w="2592"/>
            <w:shd w:val="clear" w:color="auto" w:fill="F4F6FA"/>
          </w:tcPr>
          <w:p>
            <w:pPr>
              <w:spacing w:after="0" w:before="0"/>
            </w:pPr>
            <w:r/>
            <w:r>
              <w:rPr>
                <w:rFonts w:ascii="Calibri" w:hAnsi="Calibri"/>
                <w:b/>
                <w:i w:val="0"/>
                <w:color w:val="142B4A"/>
                <w:sz w:val="16"/>
              </w:rPr>
              <w:t>NCT:NCT00593736 (ClinicalTrials.gov 2007)</w:t>
            </w:r>
            <w:r>
              <w:rPr>
                <w:rFonts w:ascii="Calibri" w:hAnsi="Calibri"/>
                <w:b w:val="0"/>
                <w:i w:val="0"/>
                <w:color w:val="595959"/>
                <w:sz w:val="16"/>
              </w:rPr>
            </w:r>
            <w:r>
              <w:rPr>
                <w:rFonts w:ascii="Calibri" w:hAnsi="Calibri"/>
                <w:b w:val="0"/>
                <w:i w:val="0"/>
                <w:sz w:val="16"/>
              </w:rPr>
              <w:br/>
              <w:t>Efficacy of Ramelteon on Speeding Up Sleep in Subjects With Delayed Sleep Phase Syndrome</w:t>
            </w:r>
            <w:r>
              <w:rPr>
                <w:rFonts w:ascii="Calibri" w:hAnsi="Calibri"/>
                <w:b w:val="0"/>
                <w:i w:val="0"/>
                <w:color w:val="595959"/>
                <w:sz w:val="16"/>
              </w:rPr>
              <w:br/>
              <w:t>2008-01-15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“once daily (QD)”</w:t>
            </w:r>
            <w:r>
              <w:rPr>
                <w:rFonts w:ascii="Calibri" w:hAnsi="Calibri"/>
                <w:b w:val="0"/>
                <w:i w:val="0"/>
                <w:color w:val="595959"/>
                <w:sz w:val="16"/>
              </w:rPr>
              <w:t xml:space="preserve"> — Study purpose statement</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c4.L3.a1</w:t>
            </w:r>
          </w:p>
        </w:tc>
        <w:tc>
          <w:tcPr>
            <w:tcW w:type="dxa" w:w="2592"/>
          </w:tcPr>
          <w:p>
            <w:pPr>
              <w:spacing w:after="0" w:before="0"/>
            </w:pPr>
            <w:r/>
            <w:r>
              <w:rPr>
                <w:rFonts w:ascii="Calibri" w:hAnsi="Calibri"/>
                <w:b/>
                <w:i w:val="0"/>
                <w:color w:val="142B4A"/>
                <w:sz w:val="16"/>
              </w:rPr>
              <w:t>NCT:NCT01163032 (ClinicalTrials.gov 2010)</w:t>
            </w:r>
            <w:r>
              <w:rPr>
                <w:rFonts w:ascii="Calibri" w:hAnsi="Calibri"/>
                <w:b w:val="0"/>
                <w:i w:val="0"/>
                <w:color w:val="595959"/>
                <w:sz w:val="16"/>
              </w:rPr>
            </w:r>
            <w:r>
              <w:rPr>
                <w:rFonts w:ascii="Calibri" w:hAnsi="Calibri"/>
                <w:b w:val="0"/>
                <w:i w:val="0"/>
                <w:sz w:val="16"/>
              </w:rPr>
              <w:br/>
              <w:t>Efficacy and Safety of Tasimelteon Compared With Placebo in Totally Blind Subjects With…</w:t>
            </w:r>
            <w:r>
              <w:rPr>
                <w:rFonts w:ascii="Calibri" w:hAnsi="Calibri"/>
                <w:b w:val="0"/>
                <w:i w:val="0"/>
                <w:color w:val="595959"/>
                <w:sz w:val="16"/>
              </w:rPr>
              <w:br/>
              <w:t>2010-07-15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“20 mg tasimelteon capsules, PO daily for 6 months”</w:t>
            </w:r>
            <w:r>
              <w:rPr>
                <w:rFonts w:ascii="Calibri" w:hAnsi="Calibri"/>
                <w:b w:val="0"/>
                <w:i w:val="0"/>
                <w:color w:val="595959"/>
                <w:sz w:val="16"/>
              </w:rPr>
              <w:t xml:space="preserve"> — Arms/Interventions</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c4.L3.a1</w:t>
            </w:r>
          </w:p>
        </w:tc>
        <w:tc>
          <w:tcPr>
            <w:tcW w:type="dxa" w:w="2592"/>
            <w:shd w:val="clear" w:color="auto" w:fill="F4F6FA"/>
          </w:tcPr>
          <w:p>
            <w:pPr>
              <w:spacing w:after="0" w:before="0"/>
            </w:pPr>
            <w:r/>
            <w:r>
              <w:rPr>
                <w:rFonts w:ascii="Calibri" w:hAnsi="Calibri"/>
                <w:b/>
                <w:i w:val="0"/>
                <w:color w:val="142B4A"/>
                <w:sz w:val="16"/>
              </w:rPr>
              <w:t>NPL:FDA-LABEL-NDA021782-2010-11-12</w:t>
            </w:r>
            <w:r>
              <w:rPr>
                <w:rFonts w:ascii="Calibri" w:hAnsi="Calibri"/>
                <w:b w:val="0"/>
                <w:i w:val="0"/>
                <w:color w:val="595959"/>
                <w:sz w:val="16"/>
              </w:rPr>
            </w:r>
            <w:r>
              <w:rPr>
                <w:rFonts w:ascii="Calibri" w:hAnsi="Calibri"/>
                <w:b w:val="0"/>
                <w:i w:val="0"/>
                <w:sz w:val="16"/>
              </w:rPr>
              <w:br/>
              <w:t>ROZEREM prescribing information (Drugs@FDA NDA021782, label dated 2010-11-12)</w:t>
            </w:r>
            <w:r>
              <w:rPr>
                <w:rFonts w:ascii="Calibri" w:hAnsi="Calibri"/>
                <w:b w:val="0"/>
                <w:i w:val="0"/>
                <w:color w:val="595959"/>
                <w:sz w:val="16"/>
              </w:rPr>
              <w:br/>
              <w:t>2010-11-12 · read on full text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“The recommended dose of ROZEREM is 8 mg taken within 30 minutes of going to bed.”</w:t>
            </w:r>
            <w:r>
              <w:rPr>
                <w:rFonts w:ascii="Calibri" w:hAnsi="Calibri"/>
                <w:b w:val="0"/>
                <w:i w:val="0"/>
                <w:color w:val="595959"/>
                <w:sz w:val="16"/>
              </w:rPr>
              <w:t xml:space="preserve"> — 2.1 Dosage in Adults</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c4.L4.a1</w:t>
            </w:r>
          </w:p>
        </w:tc>
        <w:tc>
          <w:tcPr>
            <w:tcW w:type="dxa" w:w="2592"/>
          </w:tcPr>
          <w:p>
            <w:pPr>
              <w:spacing w:after="0" w:before="0"/>
            </w:pPr>
            <w:r/>
            <w:r>
              <w:rPr>
                <w:rFonts w:ascii="Calibri" w:hAnsi="Calibri"/>
                <w:b/>
                <w:i w:val="0"/>
                <w:color w:val="142B4A"/>
                <w:sz w:val="16"/>
              </w:rPr>
              <w:t>PMID:19054552</w:t>
            </w:r>
            <w:r>
              <w:rPr>
                <w:rFonts w:ascii="Calibri" w:hAnsi="Calibri"/>
                <w:b w:val="0"/>
                <w:i w:val="0"/>
                <w:color w:val="595959"/>
                <w:sz w:val="16"/>
              </w:rPr>
              <w:t xml:space="preserve">  Rajaratnam et al.</w:t>
            </w:r>
            <w:r>
              <w:rPr>
                <w:rFonts w:ascii="Calibri" w:hAnsi="Calibri"/>
                <w:b w:val="0"/>
                <w:i w:val="0"/>
                <w:sz w:val="16"/>
              </w:rPr>
              <w:br/>
              <w:t>Melatonin agonist tasimelteon (VEC-162) for transient insomnia after sleep-time shift:…</w:t>
            </w:r>
            <w:r>
              <w:rPr>
                <w:rFonts w:ascii="Calibri" w:hAnsi="Calibri"/>
                <w:b w:val="0"/>
                <w:i w:val="0"/>
                <w:color w:val="595959"/>
                <w:sz w:val="16"/>
              </w:rPr>
              <w:br/>
              <w:t>2008-12-04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“tasimelteon (20 [n=100], 50 [n=102], or 100 mg [n=106]) or placebo (n=103) 30 min before bedtime”</w:t>
            </w:r>
            <w:r>
              <w:rPr>
                <w:rFonts w:ascii="Calibri" w:hAnsi="Calibri"/>
                <w:b w:val="0"/>
                <w:i w:val="0"/>
                <w:color w:val="595959"/>
                <w:sz w:val="16"/>
              </w:rPr>
              <w:t xml:space="preserve"> — Methods, phase III</w:t>
            </w:r>
          </w:p>
        </w:tc>
        <w:tc>
          <w:tcPr>
            <w:tcW w:type="dxa" w:w="1584"/>
          </w:tcPr>
          <w:p>
            <w:pPr>
              <w:spacing w:after="0" w:before="0"/>
            </w:pPr>
            <w:r/>
            <w:r>
              <w:rPr>
                <w:rFonts w:ascii="Calibri" w:hAnsi="Calibri"/>
                <w:b w:val="0"/>
                <w:i w:val="0"/>
                <w:sz w:val="16"/>
              </w:rPr>
              <w:t>alternative 2</w:t>
            </w:r>
          </w:p>
        </w:tc>
      </w:tr>
      <w:tr>
        <w:tc>
          <w:tcPr>
            <w:tcW w:type="dxa" w:w="720"/>
            <w:shd w:val="clear" w:color="auto" w:fill="F4F6FA"/>
          </w:tcPr>
          <w:p>
            <w:pPr>
              <w:spacing w:after="0" w:before="0"/>
            </w:pPr>
            <w:r/>
            <w:r>
              <w:rPr>
                <w:rFonts w:ascii="Calibri" w:hAnsi="Calibri"/>
                <w:b w:val="0"/>
                <w:i w:val="0"/>
                <w:sz w:val="16"/>
              </w:rPr>
              <w:t>c4.L4.a1</w:t>
            </w:r>
          </w:p>
        </w:tc>
        <w:tc>
          <w:tcPr>
            <w:tcW w:type="dxa" w:w="2592"/>
            <w:shd w:val="clear" w:color="auto" w:fill="F4F6FA"/>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r>
            <w:r>
              <w:rPr>
                <w:rFonts w:ascii="Calibri" w:hAnsi="Calibri"/>
                <w:b w:val="0"/>
                <w:i w:val="0"/>
                <w:sz w:val="16"/>
              </w:rPr>
              <w:br/>
              <w:t>Safety Study of Tasimelteon for Treatment of Non-24-Hour-Sleep-Wake Disorder in Blind…</w:t>
            </w:r>
            <w:r>
              <w:rPr>
                <w:rFonts w:ascii="Calibri" w:hAnsi="Calibri"/>
                <w:b w:val="0"/>
                <w:i w:val="0"/>
                <w:color w:val="595959"/>
                <w:sz w:val="16"/>
              </w:rPr>
              <w:br/>
              <w:t>2010-10-11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“patients will be asked to take 20 mg tasimelteon daily approximately 60 minutes prior to their target bedtime”</w:t>
            </w:r>
            <w:r>
              <w:rPr>
                <w:rFonts w:ascii="Calibri" w:hAnsi="Calibri"/>
                <w:b w:val="0"/>
                <w:i w:val="0"/>
                <w:color w:val="595959"/>
                <w:sz w:val="16"/>
              </w:rPr>
              <w:t xml:space="preserve"> — Study design paragraph</w:t>
            </w:r>
          </w:p>
        </w:tc>
        <w:tc>
          <w:tcPr>
            <w:tcW w:type="dxa" w:w="1584"/>
            <w:shd w:val="clear" w:color="auto" w:fill="F4F6FA"/>
          </w:tcPr>
          <w:p>
            <w:pPr>
              <w:spacing w:after="0" w:before="0"/>
            </w:pPr>
            <w:r/>
            <w:r>
              <w:rPr>
                <w:rFonts w:ascii="Calibri" w:hAnsi="Calibri"/>
                <w:b w:val="0"/>
                <w:i w:val="0"/>
                <w:sz w:val="16"/>
              </w:rPr>
              <w:t>in the combination</w:t>
            </w:r>
          </w:p>
        </w:tc>
      </w:tr>
      <w:tr>
        <w:tc>
          <w:tcPr>
            <w:tcW w:type="dxa" w:w="720"/>
          </w:tcPr>
          <w:p>
            <w:pPr>
              <w:spacing w:after="0" w:before="0"/>
            </w:pPr>
            <w:r/>
            <w:r>
              <w:rPr>
                <w:rFonts w:ascii="Calibri" w:hAnsi="Calibri"/>
                <w:b w:val="0"/>
                <w:i w:val="0"/>
                <w:sz w:val="16"/>
              </w:rPr>
              <w:t>c4.L4.a1</w:t>
            </w:r>
          </w:p>
        </w:tc>
        <w:tc>
          <w:tcPr>
            <w:tcW w:type="dxa" w:w="2592"/>
          </w:tcPr>
          <w:p>
            <w:pPr>
              <w:spacing w:after="0" w:before="0"/>
            </w:pPr>
            <w:r/>
            <w:r>
              <w:rPr>
                <w:rFonts w:ascii="Calibri" w:hAnsi="Calibri"/>
                <w:b/>
                <w:i w:val="0"/>
                <w:color w:val="142B4A"/>
                <w:sz w:val="16"/>
              </w:rPr>
              <w:t>NCT:NCT01430754 (ClinicalTrials.gov 2011)</w:t>
            </w:r>
            <w:r>
              <w:rPr>
                <w:rFonts w:ascii="Calibri" w:hAnsi="Calibri"/>
                <w:b w:val="0"/>
                <w:i w:val="0"/>
                <w:color w:val="595959"/>
                <w:sz w:val="16"/>
              </w:rPr>
            </w:r>
            <w:r>
              <w:rPr>
                <w:rFonts w:ascii="Calibri" w:hAnsi="Calibri"/>
                <w:b w:val="0"/>
                <w:i w:val="0"/>
                <w:sz w:val="16"/>
              </w:rPr>
              <w:br/>
              <w:t>Withdrawal Study to Demonstrate the Maintenance Effect in the Treatment of Non-24-Hour…</w:t>
            </w:r>
            <w:r>
              <w:rPr>
                <w:rFonts w:ascii="Calibri" w:hAnsi="Calibri"/>
                <w:b w:val="0"/>
                <w:i w:val="0"/>
                <w:color w:val="595959"/>
                <w:sz w:val="16"/>
              </w:rPr>
              <w:br/>
              <w:t>2011-09-08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“either placebo or tasimelteon 20 mg taken approximately 1 hour prior to their target bedtime”</w:t>
            </w:r>
            <w:r>
              <w:rPr>
                <w:rFonts w:ascii="Calibri" w:hAnsi="Calibri"/>
                <w:b w:val="0"/>
                <w:i w:val="0"/>
                <w:color w:val="595959"/>
                <w:sz w:val="16"/>
              </w:rPr>
              <w:t xml:space="preserve"> — randomized withdrawal phase</w:t>
            </w:r>
          </w:p>
        </w:tc>
        <w:tc>
          <w:tcPr>
            <w:tcW w:type="dxa" w:w="1584"/>
          </w:tcPr>
          <w:p>
            <w:pPr>
              <w:spacing w:after="0" w:before="0"/>
            </w:pPr>
            <w:r/>
            <w:r>
              <w:rPr>
                <w:rFonts w:ascii="Calibri" w:hAnsi="Calibri"/>
                <w:b w:val="0"/>
                <w:i w:val="0"/>
                <w:sz w:val="16"/>
              </w:rPr>
              <w:t>alternative 1</w:t>
            </w:r>
          </w:p>
        </w:tc>
      </w:tr>
      <w:tr>
        <w:tc>
          <w:tcPr>
            <w:tcW w:type="dxa" w:w="720"/>
            <w:shd w:val="clear" w:color="auto" w:fill="F4F6FA"/>
          </w:tcPr>
          <w:p>
            <w:pPr>
              <w:spacing w:after="0" w:before="0"/>
            </w:pPr>
            <w:r/>
            <w:r>
              <w:rPr>
                <w:rFonts w:ascii="Calibri" w:hAnsi="Calibri"/>
                <w:b w:val="0"/>
                <w:i w:val="0"/>
                <w:sz w:val="16"/>
              </w:rPr>
              <w:t>c4.L4.a1</w:t>
            </w:r>
          </w:p>
        </w:tc>
        <w:tc>
          <w:tcPr>
            <w:tcW w:type="dxa" w:w="2592"/>
            <w:shd w:val="clear" w:color="auto" w:fill="F4F6FA"/>
          </w:tcPr>
          <w:p>
            <w:pPr>
              <w:spacing w:after="0" w:before="0"/>
            </w:pPr>
            <w:r/>
            <w:r>
              <w:rPr>
                <w:rFonts w:ascii="Calibri" w:hAnsi="Calibri"/>
                <w:b/>
                <w:i w:val="0"/>
                <w:color w:val="142B4A"/>
                <w:sz w:val="16"/>
              </w:rPr>
              <w:t>NCT:NCT00291187 (ClinicalTrials.gov 2006)</w:t>
            </w:r>
            <w:r>
              <w:rPr>
                <w:rFonts w:ascii="Calibri" w:hAnsi="Calibri"/>
                <w:b w:val="0"/>
                <w:i w:val="0"/>
                <w:color w:val="595959"/>
                <w:sz w:val="16"/>
              </w:rPr>
            </w:r>
            <w:r>
              <w:rPr>
                <w:rFonts w:ascii="Calibri" w:hAnsi="Calibri"/>
                <w:b w:val="0"/>
                <w:i w:val="0"/>
                <w:sz w:val="16"/>
              </w:rPr>
              <w:br/>
              <w:t>VEC-162 Study in Healthy Adult Volunteers in a Model of Insomnia</w:t>
            </w:r>
            <w:r>
              <w:rPr>
                <w:rFonts w:ascii="Calibri" w:hAnsi="Calibri"/>
                <w:b w:val="0"/>
                <w:i w:val="0"/>
                <w:color w:val="595959"/>
                <w:sz w:val="16"/>
              </w:rPr>
              <w:br/>
              <w:t>2006-02-13 · read on abstract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“20 mg VEC-162: 20 mg taken orally 30 minutes prior to bedtime.”</w:t>
            </w:r>
            <w:r>
              <w:rPr>
                <w:rFonts w:ascii="Calibri" w:hAnsi="Calibri"/>
                <w:b w:val="0"/>
                <w:i w:val="0"/>
                <w:color w:val="595959"/>
                <w:sz w:val="16"/>
              </w:rPr>
              <w:t xml:space="preserve"> — Intervention description</w:t>
            </w:r>
          </w:p>
        </w:tc>
        <w:tc>
          <w:tcPr>
            <w:tcW w:type="dxa" w:w="1584"/>
            <w:shd w:val="clear" w:color="auto" w:fill="F4F6FA"/>
          </w:tcPr>
          <w:p>
            <w:pPr>
              <w:spacing w:after="0" w:before="0"/>
            </w:pPr>
            <w:r/>
            <w:r>
              <w:rPr>
                <w:rFonts w:ascii="Calibri" w:hAnsi="Calibri"/>
                <w:b w:val="0"/>
                <w:i w:val="0"/>
                <w:sz w:val="16"/>
              </w:rPr>
              <w:t>supporting (not needed for the combination)</w:t>
            </w:r>
          </w:p>
        </w:tc>
      </w:tr>
      <w:tr>
        <w:tc>
          <w:tcPr>
            <w:tcW w:type="dxa" w:w="720"/>
          </w:tcPr>
          <w:p>
            <w:pPr>
              <w:spacing w:after="0" w:before="0"/>
            </w:pPr>
            <w:r/>
            <w:r>
              <w:rPr>
                <w:rFonts w:ascii="Calibri" w:hAnsi="Calibri"/>
                <w:b w:val="0"/>
                <w:i w:val="0"/>
                <w:sz w:val="16"/>
              </w:rPr>
              <w:t>c4.L4.a1</w:t>
            </w:r>
          </w:p>
        </w:tc>
        <w:tc>
          <w:tcPr>
            <w:tcW w:type="dxa" w:w="2592"/>
          </w:tcPr>
          <w:p>
            <w:pPr>
              <w:spacing w:after="0" w:before="0"/>
            </w:pPr>
            <w:r/>
            <w:r>
              <w:rPr>
                <w:rFonts w:ascii="Calibri" w:hAnsi="Calibri"/>
                <w:b/>
                <w:i w:val="0"/>
                <w:color w:val="142B4A"/>
                <w:sz w:val="16"/>
              </w:rPr>
              <w:t>NCT:NCT01163032 (ClinicalTrials.gov 2010)</w:t>
            </w:r>
            <w:r>
              <w:rPr>
                <w:rFonts w:ascii="Calibri" w:hAnsi="Calibri"/>
                <w:b w:val="0"/>
                <w:i w:val="0"/>
                <w:color w:val="595959"/>
                <w:sz w:val="16"/>
              </w:rPr>
            </w:r>
            <w:r>
              <w:rPr>
                <w:rFonts w:ascii="Calibri" w:hAnsi="Calibri"/>
                <w:b w:val="0"/>
                <w:i w:val="0"/>
                <w:sz w:val="16"/>
              </w:rPr>
              <w:br/>
              <w:t>Efficacy and Safety of Tasimelteon Compared With Placebo in Totally Blind Subjects With…</w:t>
            </w:r>
            <w:r>
              <w:rPr>
                <w:rFonts w:ascii="Calibri" w:hAnsi="Calibri"/>
                <w:b w:val="0"/>
                <w:i w:val="0"/>
                <w:color w:val="595959"/>
                <w:sz w:val="16"/>
              </w:rPr>
              <w:br/>
              <w:t>2010-07-15 · read on abstract</w:t>
            </w:r>
          </w:p>
        </w:tc>
        <w:tc>
          <w:tcPr>
            <w:tcW w:type="dxa" w:w="1296"/>
          </w:tcPr>
          <w:p>
            <w:pPr>
              <w:spacing w:after="0" w:before="0"/>
            </w:pPr>
            <w:r/>
            <w:r>
              <w:rPr>
                <w:rFonts w:ascii="Calibri" w:hAnsi="Calibri"/>
                <w:b/>
                <w:i w:val="0"/>
                <w:color w:val="2E7D32"/>
                <w:sz w:val="16"/>
              </w:rPr>
              <w:t>EXPLICIT</w:t>
            </w:r>
          </w:p>
        </w:tc>
        <w:tc>
          <w:tcPr>
            <w:tcW w:type="dxa" w:w="4032"/>
          </w:tcPr>
          <w:p>
            <w:pPr>
              <w:spacing w:after="0" w:before="0"/>
            </w:pPr>
            <w:r/>
            <w:r>
              <w:rPr>
                <w:rFonts w:ascii="Calibri" w:hAnsi="Calibri"/>
                <w:b w:val="0"/>
                <w:i w:val="0"/>
                <w:sz w:val="16"/>
              </w:rPr>
              <w:t>“subjects will be asked to take either 20 mg tasimelteon or placebo approximately 1 hour prior to their target bedtime”</w:t>
            </w:r>
            <w:r>
              <w:rPr>
                <w:rFonts w:ascii="Calibri" w:hAnsi="Calibri"/>
                <w:b w:val="0"/>
                <w:i w:val="0"/>
                <w:color w:val="595959"/>
                <w:sz w:val="16"/>
              </w:rPr>
              <w:t xml:space="preserve"> — Randomization phase description</w:t>
            </w:r>
          </w:p>
        </w:tc>
        <w:tc>
          <w:tcPr>
            <w:tcW w:type="dxa" w:w="1584"/>
          </w:tcPr>
          <w:p>
            <w:pPr>
              <w:spacing w:after="0" w:before="0"/>
            </w:pPr>
            <w:r/>
            <w:r>
              <w:rPr>
                <w:rFonts w:ascii="Calibri" w:hAnsi="Calibri"/>
                <w:b w:val="0"/>
                <w:i w:val="0"/>
                <w:sz w:val="16"/>
              </w:rPr>
              <w:t>supporting (not needed for the combination)</w:t>
            </w:r>
          </w:p>
        </w:tc>
      </w:tr>
      <w:tr>
        <w:tc>
          <w:tcPr>
            <w:tcW w:type="dxa" w:w="720"/>
            <w:shd w:val="clear" w:color="auto" w:fill="F4F6FA"/>
          </w:tcPr>
          <w:p>
            <w:pPr>
              <w:spacing w:after="0" w:before="0"/>
            </w:pPr>
            <w:r/>
            <w:r>
              <w:rPr>
                <w:rFonts w:ascii="Calibri" w:hAnsi="Calibri"/>
                <w:b w:val="0"/>
                <w:i w:val="0"/>
                <w:sz w:val="16"/>
              </w:rPr>
              <w:t>c4.L4.a1</w:t>
            </w:r>
          </w:p>
        </w:tc>
        <w:tc>
          <w:tcPr>
            <w:tcW w:type="dxa" w:w="2592"/>
            <w:shd w:val="clear" w:color="auto" w:fill="F4F6FA"/>
          </w:tcPr>
          <w:p>
            <w:pPr>
              <w:spacing w:after="0" w:before="0"/>
            </w:pPr>
            <w:r/>
            <w:r>
              <w:rPr>
                <w:rFonts w:ascii="Calibri" w:hAnsi="Calibri"/>
                <w:b/>
                <w:i w:val="0"/>
                <w:color w:val="142B4A"/>
                <w:sz w:val="16"/>
              </w:rPr>
              <w:t>NPL:FDA-LABEL-NDA021782-2010-11-12</w:t>
            </w:r>
            <w:r>
              <w:rPr>
                <w:rFonts w:ascii="Calibri" w:hAnsi="Calibri"/>
                <w:b w:val="0"/>
                <w:i w:val="0"/>
                <w:color w:val="595959"/>
                <w:sz w:val="16"/>
              </w:rPr>
            </w:r>
            <w:r>
              <w:rPr>
                <w:rFonts w:ascii="Calibri" w:hAnsi="Calibri"/>
                <w:b w:val="0"/>
                <w:i w:val="0"/>
                <w:sz w:val="16"/>
              </w:rPr>
              <w:br/>
              <w:t>ROZEREM prescribing information (Drugs@FDA NDA021782, label dated 2010-11-12)</w:t>
            </w:r>
            <w:r>
              <w:rPr>
                <w:rFonts w:ascii="Calibri" w:hAnsi="Calibri"/>
                <w:b w:val="0"/>
                <w:i w:val="0"/>
                <w:color w:val="595959"/>
                <w:sz w:val="16"/>
              </w:rPr>
              <w:br/>
              <w:t>2010-11-12 · read on full text</w:t>
            </w:r>
          </w:p>
        </w:tc>
        <w:tc>
          <w:tcPr>
            <w:tcW w:type="dxa" w:w="1296"/>
            <w:shd w:val="clear" w:color="auto" w:fill="F4F6FA"/>
          </w:tcPr>
          <w:p>
            <w:pPr>
              <w:spacing w:after="0" w:before="0"/>
            </w:pPr>
            <w:r/>
            <w:r>
              <w:rPr>
                <w:rFonts w:ascii="Calibri" w:hAnsi="Calibri"/>
                <w:b/>
                <w:i w:val="0"/>
                <w:color w:val="2E7D32"/>
                <w:sz w:val="16"/>
              </w:rPr>
              <w:t>EXPLICIT</w:t>
            </w:r>
          </w:p>
        </w:tc>
        <w:tc>
          <w:tcPr>
            <w:tcW w:type="dxa" w:w="4032"/>
            <w:shd w:val="clear" w:color="auto" w:fill="F4F6FA"/>
          </w:tcPr>
          <w:p>
            <w:pPr>
              <w:spacing w:after="0" w:before="0"/>
            </w:pPr>
            <w:r/>
            <w:r>
              <w:rPr>
                <w:rFonts w:ascii="Calibri" w:hAnsi="Calibri"/>
                <w:b w:val="0"/>
                <w:i w:val="0"/>
                <w:sz w:val="16"/>
              </w:rPr>
              <w:t>“The recommended dose of ROZEREM is 8 mg taken within 30 minutes of going to bed.”</w:t>
            </w:r>
            <w:r>
              <w:rPr>
                <w:rFonts w:ascii="Calibri" w:hAnsi="Calibri"/>
                <w:b w:val="0"/>
                <w:i w:val="0"/>
                <w:color w:val="595959"/>
                <w:sz w:val="16"/>
              </w:rPr>
              <w:t xml:space="preserve"> — 2.1 Dosage in Adults</w:t>
            </w:r>
          </w:p>
        </w:tc>
        <w:tc>
          <w:tcPr>
            <w:tcW w:type="dxa" w:w="1584"/>
            <w:shd w:val="clear" w:color="auto" w:fill="F4F6FA"/>
          </w:tcPr>
          <w:p>
            <w:pPr>
              <w:spacing w:after="0" w:before="0"/>
            </w:pPr>
            <w:r/>
            <w:r>
              <w:rPr>
                <w:rFonts w:ascii="Calibri" w:hAnsi="Calibri"/>
                <w:b w:val="0"/>
                <w:i w:val="0"/>
                <w:sz w:val="16"/>
              </w:rPr>
              <w:t>supporting (not needed for the combination)</w:t>
            </w:r>
          </w:p>
        </w:tc>
      </w:tr>
    </w:tbl>
    <w:p>
      <w:pPr>
        <w:spacing w:after="40" w:before="0"/>
      </w:pPr>
    </w:p>
    <w:p>
      <w:pPr>
        <w:keepNext/>
        <w:spacing w:before="120" w:after="40"/>
      </w:pPr>
      <w:r>
        <w:rPr>
          <w:rFonts w:ascii="Calibri Light" w:hAnsi="Calibri Light"/>
          <w:b/>
          <w:i w:val="0"/>
          <w:color w:val="142B4A"/>
          <w:sz w:val="23"/>
        </w:rPr>
        <w:t>03c · Counter-evidence — needs a closer look</w:t>
      </w:r>
    </w:p>
    <w:p>
      <w:pPr>
        <w:spacing w:after="80" w:before="0"/>
      </w:pPr>
      <w:r>
        <w:rPr>
          <w:rFonts w:ascii="Calibri" w:hAnsi="Calibri"/>
          <w:b w:val="0"/>
          <w:i w:val="0"/>
          <w:sz w:val="18"/>
        </w:rPr>
        <w:t>Pre-priority papers that state something weakening a piece as argued above (found by a search for negating statements; each quote verified verbatim). They do not change any grade or close or open any piece; each carries the question a human expert must answer before the piece is relied on.</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720"/>
            <w:shd w:val="clear" w:color="auto" w:fill="142B4A"/>
          </w:tcPr>
          <w:p>
            <w:pPr>
              <w:spacing w:after="0" w:before="0"/>
            </w:pPr>
            <w:r/>
            <w:r>
              <w:rPr>
                <w:rFonts w:ascii="Calibri" w:hAnsi="Calibri"/>
                <w:b/>
                <w:i w:val="0"/>
                <w:color w:val="C9A227"/>
                <w:sz w:val="15"/>
              </w:rPr>
              <w:t>LIM.</w:t>
            </w:r>
          </w:p>
        </w:tc>
        <w:tc>
          <w:tcPr>
            <w:tcW w:type="dxa" w:w="1728"/>
            <w:shd w:val="clear" w:color="auto" w:fill="142B4A"/>
          </w:tcPr>
          <w:p>
            <w:pPr>
              <w:spacing w:after="0" w:before="0"/>
            </w:pPr>
            <w:r/>
            <w:r>
              <w:rPr>
                <w:rFonts w:ascii="Calibri" w:hAnsi="Calibri"/>
                <w:b/>
                <w:i w:val="0"/>
                <w:color w:val="C9A227"/>
                <w:sz w:val="15"/>
              </w:rPr>
              <w:t>PAPER · DATE</w:t>
            </w:r>
          </w:p>
        </w:tc>
        <w:tc>
          <w:tcPr>
            <w:tcW w:type="dxa" w:w="3456"/>
            <w:shd w:val="clear" w:color="auto" w:fill="142B4A"/>
          </w:tcPr>
          <w:p>
            <w:pPr>
              <w:spacing w:after="0" w:before="0"/>
            </w:pPr>
            <w:r/>
            <w:r>
              <w:rPr>
                <w:rFonts w:ascii="Calibri" w:hAnsi="Calibri"/>
                <w:b/>
                <w:i w:val="0"/>
                <w:color w:val="C9A227"/>
                <w:sz w:val="15"/>
              </w:rPr>
              <w:t>WHAT IT SAYS (VERBATIM)</w:t>
            </w:r>
          </w:p>
        </w:tc>
        <w:tc>
          <w:tcPr>
            <w:tcW w:type="dxa" w:w="2304"/>
            <w:shd w:val="clear" w:color="auto" w:fill="142B4A"/>
          </w:tcPr>
          <w:p>
            <w:pPr>
              <w:spacing w:after="0" w:before="0"/>
            </w:pPr>
            <w:r/>
            <w:r>
              <w:rPr>
                <w:rFonts w:ascii="Calibri" w:hAnsi="Calibri"/>
                <w:b/>
                <w:i w:val="0"/>
                <w:color w:val="C9A227"/>
                <w:sz w:val="15"/>
              </w:rPr>
              <w:t>WHY IT MATTERS</w:t>
            </w:r>
          </w:p>
        </w:tc>
        <w:tc>
          <w:tcPr>
            <w:tcW w:type="dxa" w:w="2016"/>
            <w:shd w:val="clear" w:color="auto" w:fill="142B4A"/>
          </w:tcPr>
          <w:p>
            <w:pPr>
              <w:spacing w:after="0" w:before="0"/>
            </w:pPr>
            <w:r/>
            <w:r>
              <w:rPr>
                <w:rFonts w:ascii="Calibri" w:hAnsi="Calibri"/>
                <w:b/>
                <w:i w:val="0"/>
                <w:color w:val="C9A227"/>
                <w:sz w:val="15"/>
              </w:rPr>
              <w:t>REVIEWER QUESTION</w:t>
            </w:r>
          </w:p>
        </w:tc>
      </w:tr>
      <w:tr>
        <w:tc>
          <w:tcPr>
            <w:tcW w:type="dxa" w:w="720"/>
          </w:tcPr>
          <w:p>
            <w:pPr>
              <w:spacing w:after="0" w:before="0"/>
            </w:pPr>
            <w:r/>
            <w:r>
              <w:rPr>
                <w:rFonts w:ascii="Calibri" w:hAnsi="Calibri"/>
                <w:b w:val="0"/>
                <w:i w:val="0"/>
                <w:sz w:val="16"/>
              </w:rPr>
              <w:t>c1.L2.a1</w:t>
            </w:r>
          </w:p>
        </w:tc>
        <w:tc>
          <w:tcPr>
            <w:tcW w:type="dxa" w:w="1728"/>
          </w:tcPr>
          <w:p>
            <w:pPr>
              <w:spacing w:after="0" w:before="0"/>
            </w:pPr>
            <w:r/>
            <w:r>
              <w:rPr>
                <w:rFonts w:ascii="Calibri" w:hAnsi="Calibri"/>
                <w:b/>
                <w:i w:val="0"/>
                <w:color w:val="142B4A"/>
                <w:sz w:val="16"/>
              </w:rPr>
              <w:t>PMID:19557144 (Hardeland 2009)</w:t>
            </w:r>
            <w:r>
              <w:rPr>
                <w:rFonts w:ascii="Calibri" w:hAnsi="Calibri"/>
                <w:b w:val="0"/>
                <w:i w:val="0"/>
                <w:color w:val="595959"/>
                <w:sz w:val="16"/>
              </w:rPr>
              <w:br/>
              <w:t>2009-12-31 · full_text</w:t>
            </w:r>
          </w:p>
        </w:tc>
        <w:tc>
          <w:tcPr>
            <w:tcW w:type="dxa" w:w="3456"/>
          </w:tcPr>
          <w:p>
            <w:pPr>
              <w:spacing w:after="0" w:before="0"/>
            </w:pPr>
            <w:r/>
            <w:r>
              <w:rPr>
                <w:rFonts w:ascii="Calibri" w:hAnsi="Calibri"/>
                <w:b w:val="0"/>
                <w:i w:val="0"/>
                <w:sz w:val="16"/>
              </w:rPr>
              <w:t>“The metabolism, studied in rat, monkey and human liver, showed degradation by CYP1A1, CYP1A2, CYP2D6, and CYP2C9, and also some conjugation with glucuronic acid.”</w:t>
            </w:r>
          </w:p>
        </w:tc>
        <w:tc>
          <w:tcPr>
            <w:tcW w:type="dxa" w:w="2304"/>
          </w:tcPr>
          <w:p>
            <w:pPr>
              <w:spacing w:after="0" w:before="0"/>
            </w:pPr>
            <w:r/>
            <w:r>
              <w:rPr>
                <w:rFonts w:ascii="Calibri" w:hAnsi="Calibri"/>
                <w:b w:val="0"/>
                <w:i w:val="0"/>
                <w:sz w:val="16"/>
              </w:rPr>
              <w:t>The paper lists the enzymes metabolizing tasimelteon and CYP3A4 is not among them, contradicting the claimed CYP3A4-mediated interaction.</w:t>
            </w:r>
          </w:p>
        </w:tc>
        <w:tc>
          <w:tcPr>
            <w:tcW w:type="dxa" w:w="2016"/>
          </w:tcPr>
          <w:p>
            <w:pPr>
              <w:spacing w:after="0" w:before="0"/>
            </w:pPr>
            <w:r/>
            <w:r>
              <w:rPr>
                <w:rFonts w:ascii="Calibri" w:hAnsi="Calibri"/>
                <w:b/>
                <w:i w:val="0"/>
                <w:color w:val="B26A00"/>
                <w:sz w:val="16"/>
              </w:rPr>
              <w:t>Does other pharmacokinetic evidence support a clinically significant CYP3A4-mediated interaction between rifampicin and tasimelteon despite this metabolic enzyme profile?</w:t>
            </w:r>
          </w:p>
        </w:tc>
      </w:tr>
      <w:tr>
        <w:tc>
          <w:tcPr>
            <w:tcW w:type="dxa" w:w="720"/>
            <w:shd w:val="clear" w:color="auto" w:fill="F4F6FA"/>
          </w:tcPr>
          <w:p>
            <w:pPr>
              <w:spacing w:after="0" w:before="0"/>
            </w:pPr>
            <w:r/>
            <w:r>
              <w:rPr>
                <w:rFonts w:ascii="Calibri" w:hAnsi="Calibri"/>
                <w:b w:val="0"/>
                <w:i w:val="0"/>
                <w:sz w:val="16"/>
              </w:rPr>
              <w:t>c1.L2.a1</w:t>
            </w:r>
          </w:p>
        </w:tc>
        <w:tc>
          <w:tcPr>
            <w:tcW w:type="dxa" w:w="1728"/>
            <w:shd w:val="clear" w:color="auto" w:fill="F4F6FA"/>
          </w:tcPr>
          <w:p>
            <w:pPr>
              <w:spacing w:after="0" w:before="0"/>
            </w:pPr>
            <w:r/>
            <w:r>
              <w:rPr>
                <w:rFonts w:ascii="Calibri" w:hAnsi="Calibri"/>
                <w:b/>
                <w:i w:val="0"/>
                <w:color w:val="142B4A"/>
                <w:sz w:val="16"/>
              </w:rPr>
              <w:t>PMID:12661062 (Vachharajani et al. 2003)</w:t>
            </w:r>
            <w:r>
              <w:rPr>
                <w:rFonts w:ascii="Calibri" w:hAnsi="Calibri"/>
                <w:b w:val="0"/>
                <w:i w:val="0"/>
                <w:color w:val="595959"/>
                <w:sz w:val="16"/>
              </w:rPr>
              <w:br/>
              <w:t>2003-12-31 · abstract</w:t>
            </w:r>
          </w:p>
        </w:tc>
        <w:tc>
          <w:tcPr>
            <w:tcW w:type="dxa" w:w="3456"/>
            <w:shd w:val="clear" w:color="auto" w:fill="F4F6FA"/>
          </w:tcPr>
          <w:p>
            <w:pPr>
              <w:spacing w:after="0" w:before="0"/>
            </w:pPr>
            <w:r/>
            <w:r>
              <w:rPr>
                <w:rFonts w:ascii="Calibri" w:hAnsi="Calibri"/>
                <w:b w:val="0"/>
                <w:i w:val="0"/>
                <w:sz w:val="16"/>
              </w:rPr>
              <w:t>“In vitro metabolism of BMS-214778 was mostly by hydroxylation and dehydrogenation, with CYP1A1, 1A2, 2D6, and 2C9 being the most likely isoforms to be involved in its metabolism in humans.”</w:t>
            </w:r>
          </w:p>
        </w:tc>
        <w:tc>
          <w:tcPr>
            <w:tcW w:type="dxa" w:w="2304"/>
            <w:shd w:val="clear" w:color="auto" w:fill="F4F6FA"/>
          </w:tcPr>
          <w:p>
            <w:pPr>
              <w:spacing w:after="0" w:before="0"/>
            </w:pPr>
            <w:r/>
            <w:r>
              <w:rPr>
                <w:rFonts w:ascii="Calibri" w:hAnsi="Calibri"/>
                <w:b w:val="0"/>
                <w:i w:val="0"/>
                <w:sz w:val="16"/>
              </w:rPr>
              <w:t>This lists the enzymes metabolizing tasimelteon's precursor and does not include CYP3A4, contradicting reliance on CYP3A4 induction.</w:t>
            </w:r>
          </w:p>
        </w:tc>
        <w:tc>
          <w:tcPr>
            <w:tcW w:type="dxa" w:w="2016"/>
            <w:shd w:val="clear" w:color="auto" w:fill="F4F6FA"/>
          </w:tcPr>
          <w:p>
            <w:pPr>
              <w:spacing w:after="0" w:before="0"/>
            </w:pPr>
            <w:r/>
            <w:r>
              <w:rPr>
                <w:rFonts w:ascii="Calibri" w:hAnsi="Calibri"/>
                <w:b/>
                <w:i w:val="0"/>
                <w:color w:val="B26A00"/>
                <w:sz w:val="16"/>
              </w:rPr>
              <w:t>Does CYP3A4 play any measurable role in tasimelteon metabolism despite not being listed among the isoforms identified here?</w:t>
            </w:r>
          </w:p>
        </w:tc>
      </w:tr>
    </w:tbl>
    <w:p>
      <w:pPr>
        <w:spacing w:after="40" w:before="0"/>
      </w:pPr>
    </w:p>
    <w:p>
      <w:pPr>
        <w:keepNext/>
        <w:spacing w:before="240" w:after="60"/>
        <w:pBdr>
          <w:bottom w:val="single" w:sz="4" w:color="C9A227"/>
        </w:pBdr>
      </w:pPr>
      <w:r>
        <w:rPr>
          <w:rFonts w:ascii="Calibri Light" w:hAnsi="Calibri Light"/>
          <w:b/>
          <w:i w:val="0"/>
          <w:color w:val="C9A227"/>
          <w:sz w:val="30"/>
        </w:rPr>
        <w:t xml:space="preserve">04  </w:t>
      </w:r>
      <w:r>
        <w:rPr>
          <w:rFonts w:ascii="Calibri Light" w:hAnsi="Calibri Light"/>
          <w:b w:val="0"/>
          <w:i w:val="0"/>
          <w:color w:val="142B4A"/>
          <w:sz w:val="30"/>
        </w:rPr>
        <w:t>The combination search</w:t>
      </w:r>
    </w:p>
    <w:p>
      <w:pPr>
        <w:spacing w:after="80" w:before="0"/>
      </w:pPr>
      <w:r>
        <w:rPr>
          <w:rFonts w:ascii="Calibri" w:hAnsi="Calibri"/>
          <w:b w:val="0"/>
          <w:i w:val="0"/>
          <w:sz w:val="19"/>
        </w:rPr>
        <w:t>Status COMBINATION_COMPLETE. Patent pool: 2,287 classification-matched records examined, 50 retained for full analysis, 128 graded per limitation, 236 eligible for combination (223 published before priority, 13 with an earlier effective date under §102(e)), 0 routed to context by the eligibility gate. Grading budget: 260 candidates considered, 126 selected at 6 per limitation (cap 24) -- every limitation nominates its closest candidates by its own text, so a reference strong on one requirement is graded even when it ranks low on the invention as a whole. Limitation-vocabulary lanes: 9 (one per limitation, across the whole index) returned 78 records.</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152"/>
            <w:shd w:val="clear" w:color="auto" w:fill="142B4A"/>
          </w:tcPr>
          <w:p>
            <w:pPr>
              <w:spacing w:after="0" w:before="0"/>
            </w:pPr>
            <w:r/>
            <w:r>
              <w:rPr>
                <w:rFonts w:ascii="Calibri" w:hAnsi="Calibri"/>
                <w:b/>
                <w:i w:val="0"/>
                <w:color w:val="C9A227"/>
                <w:sz w:val="15"/>
              </w:rPr>
              <w:t>ROLE</w:t>
            </w:r>
          </w:p>
        </w:tc>
        <w:tc>
          <w:tcPr>
            <w:tcW w:type="dxa" w:w="1728"/>
            <w:shd w:val="clear" w:color="auto" w:fill="142B4A"/>
          </w:tcPr>
          <w:p>
            <w:pPr>
              <w:spacing w:after="0" w:before="0"/>
            </w:pPr>
            <w:r/>
            <w:r>
              <w:rPr>
                <w:rFonts w:ascii="Calibri" w:hAnsi="Calibri"/>
                <w:b/>
                <w:i w:val="0"/>
                <w:color w:val="C9A227"/>
                <w:sz w:val="15"/>
              </w:rPr>
              <w:t>REFERENCE</w:t>
            </w:r>
          </w:p>
        </w:tc>
        <w:tc>
          <w:tcPr>
            <w:tcW w:type="dxa" w:w="1296"/>
            <w:shd w:val="clear" w:color="auto" w:fill="142B4A"/>
          </w:tcPr>
          <w:p>
            <w:pPr>
              <w:spacing w:after="0" w:before="0"/>
            </w:pPr>
            <w:r/>
            <w:r>
              <w:rPr>
                <w:rFonts w:ascii="Calibri" w:hAnsi="Calibri"/>
                <w:b/>
                <w:i w:val="0"/>
                <w:color w:val="C9A227"/>
                <w:sz w:val="15"/>
              </w:rPr>
              <w:t>PUB. DATE</w:t>
            </w:r>
          </w:p>
        </w:tc>
        <w:tc>
          <w:tcPr>
            <w:tcW w:type="dxa" w:w="2448"/>
            <w:shd w:val="clear" w:color="auto" w:fill="142B4A"/>
          </w:tcPr>
          <w:p>
            <w:pPr>
              <w:spacing w:after="0" w:before="0"/>
            </w:pPr>
            <w:r/>
            <w:r>
              <w:rPr>
                <w:rFonts w:ascii="Calibri" w:hAnsi="Calibri"/>
                <w:b/>
                <w:i w:val="0"/>
                <w:color w:val="C9A227"/>
                <w:sz w:val="15"/>
              </w:rPr>
              <w:t>ELIGIBILITY BASIS</w:t>
            </w:r>
          </w:p>
        </w:tc>
        <w:tc>
          <w:tcPr>
            <w:tcW w:type="dxa" w:w="4176"/>
            <w:shd w:val="clear" w:color="auto" w:fill="142B4A"/>
          </w:tcPr>
          <w:p>
            <w:pPr>
              <w:spacing w:after="0" w:before="0"/>
            </w:pPr>
            <w:r/>
            <w:r>
              <w:rPr>
                <w:rFonts w:ascii="Calibri" w:hAnsi="Calibri"/>
                <w:b/>
                <w:i w:val="0"/>
                <w:color w:val="C9A227"/>
                <w:sz w:val="15"/>
              </w:rPr>
              <w:t>LIMITATIONS COVERED</w:t>
            </w:r>
          </w:p>
        </w:tc>
      </w:tr>
      <w:tr>
        <w:tc>
          <w:tcPr>
            <w:tcW w:type="dxa" w:w="1152"/>
          </w:tcPr>
          <w:p>
            <w:pPr>
              <w:spacing w:after="0" w:before="0"/>
            </w:pPr>
            <w:r/>
            <w:r>
              <w:rPr>
                <w:rFonts w:ascii="Calibri" w:hAnsi="Calibri"/>
                <w:b w:val="0"/>
                <w:i w:val="0"/>
                <w:sz w:val="17"/>
              </w:rPr>
              <w:t>Primary</w:t>
            </w:r>
          </w:p>
        </w:tc>
        <w:tc>
          <w:tcPr>
            <w:tcW w:type="dxa" w:w="1728"/>
          </w:tcPr>
          <w:p>
            <w:pPr>
              <w:spacing w:after="0" w:before="0"/>
            </w:pPr>
            <w:r/>
            <w:r>
              <w:rPr>
                <w:rFonts w:ascii="Calibri" w:hAnsi="Calibri"/>
                <w:b/>
                <w:i w:val="0"/>
                <w:color w:val="142B4A"/>
                <w:sz w:val="17"/>
              </w:rPr>
              <w:t>NCT:NCT01218789 (ClinicalTrials.gov 2010)</w:t>
            </w:r>
            <w:r>
              <w:rPr>
                <w:rFonts w:ascii="Calibri" w:hAnsi="Calibri"/>
                <w:b w:val="0"/>
                <w:i w:val="0"/>
                <w:color w:val="595959"/>
                <w:sz w:val="17"/>
              </w:rPr>
              <w:br/>
              <w:t>or equally NCT:NCT01163032 (ClinicalTrials.gov 2010) or NCT:NCT01429116 (ClinicalTrials.gov 2011)</w:t>
            </w:r>
          </w:p>
        </w:tc>
        <w:tc>
          <w:tcPr>
            <w:tcW w:type="dxa" w:w="1296"/>
          </w:tcPr>
          <w:p>
            <w:pPr>
              <w:spacing w:after="0" w:before="0"/>
            </w:pPr>
            <w:r/>
            <w:r>
              <w:rPr>
                <w:rFonts w:ascii="Calibri" w:hAnsi="Calibri"/>
                <w:b w:val="0"/>
                <w:i w:val="0"/>
                <w:sz w:val="17"/>
              </w:rPr>
              <w:t>2010-10-11</w:t>
            </w:r>
          </w:p>
        </w:tc>
        <w:tc>
          <w:tcPr>
            <w:tcW w:type="dxa" w:w="2448"/>
          </w:tcPr>
          <w:p>
            <w:pPr>
              <w:spacing w:after="0" w:before="0"/>
            </w:pPr>
            <w:r/>
            <w:r>
              <w:rPr>
                <w:rFonts w:ascii="Calibri" w:hAnsi="Calibri"/>
                <w:b w:val="0"/>
                <w:i w:val="0"/>
                <w:sz w:val="17"/>
              </w:rPr>
              <w:t>published before the subject's priority date</w:t>
            </w:r>
          </w:p>
        </w:tc>
        <w:tc>
          <w:tcPr>
            <w:tcW w:type="dxa" w:w="4176"/>
          </w:tcPr>
          <w:p>
            <w:pPr>
              <w:spacing w:after="0" w:before="0"/>
            </w:pPr>
            <w:r/>
            <w:r>
              <w:rPr>
                <w:rFonts w:ascii="Calibri" w:hAnsi="Calibri"/>
                <w:b w:val="0"/>
                <w:i w:val="0"/>
                <w:sz w:val="17"/>
              </w:rPr>
              <w:t>c2.L1.a1, c3.L1.a1, c4.L2.a1 — 3 of 9 uniquely; alone reaches 6 of 9</w:t>
            </w:r>
          </w:p>
        </w:tc>
      </w:tr>
      <w:tr>
        <w:tc>
          <w:tcPr>
            <w:tcW w:type="dxa" w:w="1152"/>
            <w:shd w:val="clear" w:color="auto" w:fill="F4F6FA"/>
          </w:tcPr>
          <w:p>
            <w:pPr>
              <w:spacing w:after="0" w:before="0"/>
            </w:pPr>
            <w:r/>
            <w:r>
              <w:rPr>
                <w:rFonts w:ascii="Calibri" w:hAnsi="Calibri"/>
                <w:b w:val="0"/>
                <w:i w:val="0"/>
                <w:sz w:val="17"/>
              </w:rPr>
              <w:t>Secondary</w:t>
            </w:r>
          </w:p>
        </w:tc>
        <w:tc>
          <w:tcPr>
            <w:tcW w:type="dxa" w:w="1728"/>
            <w:shd w:val="clear" w:color="auto" w:fill="F4F6FA"/>
          </w:tcPr>
          <w:p>
            <w:pPr>
              <w:spacing w:after="0" w:before="0"/>
            </w:pPr>
            <w:r/>
            <w:r>
              <w:rPr>
                <w:rFonts w:ascii="Calibri" w:hAnsi="Calibri"/>
                <w:b/>
                <w:i w:val="0"/>
                <w:color w:val="142B4A"/>
                <w:sz w:val="17"/>
              </w:rPr>
              <w:t>EP2308491B1 (Bradford et al.)</w:t>
            </w:r>
            <w:r>
              <w:rPr>
                <w:rFonts w:ascii="Calibri" w:hAnsi="Calibri"/>
                <w:b w:val="0"/>
                <w:i w:val="0"/>
                <w:color w:val="595959"/>
                <w:sz w:val="17"/>
              </w:rPr>
              <w:br/>
              <w:t>or equally US20080124407A1 (Eaton et al.), NPL:FDA-LABEL-NDA021782-2010-11-12 (Drugs@FDA label 2010) or WO2002005850A2 (Meyer)</w:t>
            </w:r>
          </w:p>
        </w:tc>
        <w:tc>
          <w:tcPr>
            <w:tcW w:type="dxa" w:w="1296"/>
            <w:shd w:val="clear" w:color="auto" w:fill="F4F6FA"/>
          </w:tcPr>
          <w:p>
            <w:pPr>
              <w:spacing w:after="0" w:before="0"/>
            </w:pPr>
            <w:r/>
            <w:r>
              <w:rPr>
                <w:rFonts w:ascii="Calibri" w:hAnsi="Calibri"/>
                <w:b w:val="0"/>
                <w:i w:val="0"/>
                <w:sz w:val="17"/>
              </w:rPr>
              <w:t>2011-09-07</w:t>
            </w:r>
          </w:p>
        </w:tc>
        <w:tc>
          <w:tcPr>
            <w:tcW w:type="dxa" w:w="2448"/>
            <w:shd w:val="clear" w:color="auto" w:fill="F4F6FA"/>
          </w:tcPr>
          <w:p>
            <w:pPr>
              <w:spacing w:after="0" w:before="0"/>
            </w:pPr>
            <w:r/>
            <w:r>
              <w:rPr>
                <w:rFonts w:ascii="Calibri" w:hAnsi="Calibri"/>
                <w:b w:val="0"/>
                <w:i w:val="0"/>
                <w:sz w:val="17"/>
              </w:rPr>
              <w:t>published before the subject's priority date</w:t>
            </w:r>
          </w:p>
        </w:tc>
        <w:tc>
          <w:tcPr>
            <w:tcW w:type="dxa" w:w="4176"/>
            <w:shd w:val="clear" w:color="auto" w:fill="F4F6FA"/>
          </w:tcPr>
          <w:p>
            <w:pPr>
              <w:spacing w:after="0" w:before="0"/>
            </w:pPr>
            <w:r/>
            <w:r>
              <w:rPr>
                <w:rFonts w:ascii="Calibri" w:hAnsi="Calibri"/>
                <w:b w:val="0"/>
                <w:i w:val="0"/>
                <w:sz w:val="17"/>
              </w:rPr>
              <w:t>c1.L1.a2 — 1 of 9 uniquely; alone reaches 3 of 9</w:t>
            </w:r>
          </w:p>
        </w:tc>
      </w:tr>
      <w:tr>
        <w:tc>
          <w:tcPr>
            <w:tcW w:type="dxa" w:w="1152"/>
          </w:tcPr>
          <w:p>
            <w:pPr>
              <w:spacing w:after="0" w:before="0"/>
            </w:pPr>
            <w:r/>
            <w:r>
              <w:rPr>
                <w:rFonts w:ascii="Calibri" w:hAnsi="Calibri"/>
                <w:b w:val="0"/>
                <w:i w:val="0"/>
                <w:sz w:val="17"/>
              </w:rPr>
              <w:t>Secondary</w:t>
            </w:r>
          </w:p>
        </w:tc>
        <w:tc>
          <w:tcPr>
            <w:tcW w:type="dxa" w:w="1728"/>
          </w:tcPr>
          <w:p>
            <w:pPr>
              <w:spacing w:after="0" w:before="0"/>
            </w:pPr>
            <w:r/>
            <w:r>
              <w:rPr>
                <w:rFonts w:ascii="Calibri" w:hAnsi="Calibri"/>
                <w:b/>
                <w:i w:val="0"/>
                <w:color w:val="142B4A"/>
                <w:sz w:val="17"/>
              </w:rPr>
              <w:t>US20040044064A1 (Lewy et al.)</w:t>
            </w:r>
            <w:r>
              <w:rPr>
                <w:rFonts w:ascii="Calibri" w:hAnsi="Calibri"/>
                <w:b w:val="0"/>
                <w:i w:val="0"/>
                <w:color w:val="595959"/>
                <w:sz w:val="17"/>
              </w:rPr>
              <w:br/>
              <w:t>or equally NCT:NCT01429116 (ClinicalTrials.gov 2011), NCT:NCT01430754 (ClinicalTrials.gov 2011) or PMID:17969867 (Lockley et al. 2007)</w:t>
            </w:r>
          </w:p>
        </w:tc>
        <w:tc>
          <w:tcPr>
            <w:tcW w:type="dxa" w:w="1296"/>
          </w:tcPr>
          <w:p>
            <w:pPr>
              <w:spacing w:after="0" w:before="0"/>
            </w:pPr>
            <w:r/>
            <w:r>
              <w:rPr>
                <w:rFonts w:ascii="Calibri" w:hAnsi="Calibri"/>
                <w:b w:val="0"/>
                <w:i w:val="0"/>
                <w:sz w:val="17"/>
              </w:rPr>
              <w:t>2004-03-04</w:t>
            </w:r>
          </w:p>
        </w:tc>
        <w:tc>
          <w:tcPr>
            <w:tcW w:type="dxa" w:w="2448"/>
          </w:tcPr>
          <w:p>
            <w:pPr>
              <w:spacing w:after="0" w:before="0"/>
            </w:pPr>
            <w:r/>
            <w:r>
              <w:rPr>
                <w:rFonts w:ascii="Calibri" w:hAnsi="Calibri"/>
                <w:b w:val="0"/>
                <w:i w:val="0"/>
                <w:sz w:val="17"/>
              </w:rPr>
              <w:t>published before the subject's priority date</w:t>
            </w:r>
          </w:p>
        </w:tc>
        <w:tc>
          <w:tcPr>
            <w:tcW w:type="dxa" w:w="4176"/>
          </w:tcPr>
          <w:p>
            <w:pPr>
              <w:spacing w:after="0" w:before="0"/>
            </w:pPr>
            <w:r/>
            <w:r>
              <w:rPr>
                <w:rFonts w:ascii="Calibri" w:hAnsi="Calibri"/>
                <w:b w:val="0"/>
                <w:i w:val="0"/>
                <w:sz w:val="17"/>
              </w:rPr>
              <w:t>c1.L1.a1 — 1 of 9 uniquely; alone reaches 4 of 9</w:t>
            </w:r>
          </w:p>
        </w:tc>
      </w:tr>
      <w:tr>
        <w:tc>
          <w:tcPr>
            <w:tcW w:type="dxa" w:w="1152"/>
            <w:shd w:val="clear" w:color="auto" w:fill="F4F6FA"/>
          </w:tcPr>
          <w:p>
            <w:pPr>
              <w:spacing w:after="0" w:before="0"/>
            </w:pPr>
            <w:r/>
            <w:r>
              <w:rPr>
                <w:rFonts w:ascii="Calibri" w:hAnsi="Calibri"/>
                <w:b w:val="0"/>
                <w:i w:val="0"/>
                <w:sz w:val="17"/>
              </w:rPr>
              <w:t>Secondary</w:t>
            </w:r>
          </w:p>
        </w:tc>
        <w:tc>
          <w:tcPr>
            <w:tcW w:type="dxa" w:w="1728"/>
            <w:shd w:val="clear" w:color="auto" w:fill="F4F6FA"/>
          </w:tcPr>
          <w:p>
            <w:pPr>
              <w:spacing w:after="0" w:before="0"/>
            </w:pPr>
            <w:r/>
            <w:r>
              <w:rPr>
                <w:rFonts w:ascii="Calibri" w:hAnsi="Calibri"/>
                <w:b/>
                <w:i w:val="0"/>
                <w:color w:val="142B4A"/>
                <w:sz w:val="17"/>
              </w:rPr>
              <w:t>US20100056622A1 (Lauterbach)</w:t>
            </w:r>
            <w:r>
              <w:rPr>
                <w:rFonts w:ascii="Calibri" w:hAnsi="Calibri"/>
                <w:b w:val="0"/>
                <w:i w:val="0"/>
                <w:color w:val="595959"/>
                <w:sz w:val="17"/>
              </w:rPr>
              <w:br/>
              <w:t>or equally PMID:12882588 (Niemi et al. 2003)</w:t>
            </w:r>
          </w:p>
        </w:tc>
        <w:tc>
          <w:tcPr>
            <w:tcW w:type="dxa" w:w="1296"/>
            <w:shd w:val="clear" w:color="auto" w:fill="F4F6FA"/>
          </w:tcPr>
          <w:p>
            <w:pPr>
              <w:spacing w:after="0" w:before="0"/>
            </w:pPr>
            <w:r/>
            <w:r>
              <w:rPr>
                <w:rFonts w:ascii="Calibri" w:hAnsi="Calibri"/>
                <w:b w:val="0"/>
                <w:i w:val="0"/>
                <w:sz w:val="17"/>
              </w:rPr>
              <w:t>2010-03-04</w:t>
            </w:r>
          </w:p>
        </w:tc>
        <w:tc>
          <w:tcPr>
            <w:tcW w:type="dxa" w:w="2448"/>
            <w:shd w:val="clear" w:color="auto" w:fill="F4F6FA"/>
          </w:tcPr>
          <w:p>
            <w:pPr>
              <w:spacing w:after="0" w:before="0"/>
            </w:pPr>
            <w:r/>
            <w:r>
              <w:rPr>
                <w:rFonts w:ascii="Calibri" w:hAnsi="Calibri"/>
                <w:b w:val="0"/>
                <w:i w:val="0"/>
                <w:sz w:val="17"/>
              </w:rPr>
              <w:t>published before the subject's priority date</w:t>
            </w:r>
          </w:p>
        </w:tc>
        <w:tc>
          <w:tcPr>
            <w:tcW w:type="dxa" w:w="4176"/>
            <w:shd w:val="clear" w:color="auto" w:fill="F4F6FA"/>
          </w:tcPr>
          <w:p>
            <w:pPr>
              <w:spacing w:after="0" w:before="0"/>
            </w:pPr>
            <w:r/>
            <w:r>
              <w:rPr>
                <w:rFonts w:ascii="Calibri" w:hAnsi="Calibri"/>
                <w:b w:val="0"/>
                <w:i w:val="0"/>
                <w:sz w:val="17"/>
              </w:rPr>
              <w:t>c1.L2.a1 — 1 of 9 uniquely; alone reaches 4 of 9</w:t>
            </w:r>
          </w:p>
        </w:tc>
      </w:tr>
    </w:tbl>
    <w:p>
      <w:pPr>
        <w:spacing w:after="40" w:before="0"/>
      </w:pPr>
    </w:p>
    <w:p>
      <w:pPr>
        <w:spacing w:after="80" w:before="0"/>
      </w:pPr>
      <w:r>
        <w:rPr>
          <w:rFonts w:ascii="Calibri" w:hAnsi="Calibri"/>
          <w:b w:val="0"/>
          <w:i w:val="0"/>
          <w:sz w:val="19"/>
        </w:rPr>
        <w:t>A limitation counts as covered when a member states it outright, states part of it, or implies it; AMBIGUOUS signals but never covers. 2 alternative combination(s) are set out side by side below. “Or equally” names other graded references that could take that member's place with the combination still covering the same limitations; strongest first. No single reference reaches all limitations. Gap-fill: 0 beyond-set reference(s) were graded against the open limitation(s); none reached them.</w:t>
      </w:r>
    </w:p>
    <w:p>
      <w:pPr>
        <w:keepNext/>
        <w:spacing w:before="120" w:after="40"/>
      </w:pPr>
      <w:r>
        <w:rPr>
          <w:rFonts w:ascii="Calibri Light" w:hAnsi="Calibri Light"/>
          <w:b/>
          <w:i w:val="0"/>
          <w:color w:val="142B4A"/>
          <w:sz w:val="23"/>
        </w:rPr>
        <w:t>Alternative combinations</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1152"/>
            <w:shd w:val="clear" w:color="auto" w:fill="142B4A"/>
          </w:tcPr>
          <w:p>
            <w:pPr>
              <w:spacing w:after="0" w:before="0"/>
            </w:pPr>
            <w:r/>
            <w:r>
              <w:rPr>
                <w:rFonts w:ascii="Calibri" w:hAnsi="Calibri"/>
                <w:b/>
                <w:i w:val="0"/>
                <w:color w:val="C9A227"/>
                <w:sz w:val="15"/>
              </w:rPr>
              <w:t>SET</w:t>
            </w:r>
          </w:p>
        </w:tc>
        <w:tc>
          <w:tcPr>
            <w:tcW w:type="dxa" w:w="2448"/>
            <w:shd w:val="clear" w:color="auto" w:fill="142B4A"/>
          </w:tcPr>
          <w:p>
            <w:pPr>
              <w:spacing w:after="0" w:before="0"/>
            </w:pPr>
            <w:r/>
            <w:r>
              <w:rPr>
                <w:rFonts w:ascii="Calibri" w:hAnsi="Calibri"/>
                <w:b/>
                <w:i w:val="0"/>
                <w:color w:val="C9A227"/>
                <w:sz w:val="15"/>
              </w:rPr>
              <w:t>MEMBERS</w:t>
            </w:r>
          </w:p>
        </w:tc>
        <w:tc>
          <w:tcPr>
            <w:tcW w:type="dxa" w:w="1008"/>
            <w:shd w:val="clear" w:color="auto" w:fill="142B4A"/>
          </w:tcPr>
          <w:p>
            <w:pPr>
              <w:spacing w:after="0" w:before="0"/>
            </w:pPr>
            <w:r/>
            <w:r>
              <w:rPr>
                <w:rFonts w:ascii="Calibri" w:hAnsi="Calibri"/>
                <w:b/>
                <w:i w:val="0"/>
                <w:color w:val="C9A227"/>
                <w:sz w:val="15"/>
              </w:rPr>
              <w:t>PIECES REACHED</w:t>
            </w:r>
          </w:p>
        </w:tc>
        <w:tc>
          <w:tcPr>
            <w:tcW w:type="dxa" w:w="1152"/>
            <w:shd w:val="clear" w:color="auto" w:fill="142B4A"/>
          </w:tcPr>
          <w:p>
            <w:pPr>
              <w:spacing w:after="0" w:before="0"/>
            </w:pPr>
            <w:r/>
            <w:r>
              <w:rPr>
                <w:rFonts w:ascii="Calibri" w:hAnsi="Calibri"/>
                <w:b/>
                <w:i w:val="0"/>
                <w:color w:val="C9A227"/>
                <w:sz w:val="15"/>
              </w:rPr>
              <w:t>OPEN</w:t>
            </w:r>
          </w:p>
        </w:tc>
        <w:tc>
          <w:tcPr>
            <w:tcW w:type="dxa" w:w="2448"/>
            <w:shd w:val="clear" w:color="auto" w:fill="142B4A"/>
          </w:tcPr>
          <w:p>
            <w:pPr>
              <w:spacing w:after="0" w:before="0"/>
            </w:pPr>
            <w:r/>
            <w:r>
              <w:rPr>
                <w:rFonts w:ascii="Calibri" w:hAnsi="Calibri"/>
                <w:b/>
                <w:i w:val="0"/>
                <w:color w:val="C9A227"/>
                <w:sz w:val="15"/>
              </w:rPr>
              <w:t>RELATION TO THE BEST SET</w:t>
            </w:r>
          </w:p>
        </w:tc>
        <w:tc>
          <w:tcPr>
            <w:tcW w:type="dxa" w:w="2160"/>
            <w:shd w:val="clear" w:color="auto" w:fill="142B4A"/>
          </w:tcPr>
          <w:p>
            <w:pPr>
              <w:spacing w:after="0" w:before="0"/>
            </w:pPr>
            <w:r/>
            <w:r>
              <w:rPr>
                <w:rFonts w:ascii="Calibri" w:hAnsi="Calibri"/>
                <w:b/>
                <w:i w:val="0"/>
                <w:color w:val="C9A227"/>
                <w:sz w:val="15"/>
              </w:rPr>
              <w:t>MOTIVATION VERDICT</w:t>
            </w:r>
          </w:p>
        </w:tc>
      </w:tr>
      <w:tr>
        <w:tc>
          <w:tcPr>
            <w:tcW w:type="dxa" w:w="1152"/>
          </w:tcPr>
          <w:p>
            <w:pPr>
              <w:spacing w:after="0" w:before="0"/>
            </w:pPr>
            <w:r/>
            <w:r>
              <w:rPr>
                <w:rFonts w:ascii="Calibri" w:hAnsi="Calibri"/>
                <w:b w:val="0"/>
                <w:i w:val="0"/>
                <w:sz w:val="16"/>
              </w:rPr>
              <w:t>Best</w:t>
            </w:r>
          </w:p>
        </w:tc>
        <w:tc>
          <w:tcPr>
            <w:tcW w:type="dxa" w:w="2448"/>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br/>
              <w:t>or equally NCT:NCT01163032 (ClinicalTrials.gov 2010) or NCT:NCT01429116 (ClinicalTrials.gov 2011)</w:t>
            </w:r>
            <w:r>
              <w:rPr>
                <w:rFonts w:ascii="Calibri" w:hAnsi="Calibri"/>
                <w:b/>
                <w:i w:val="0"/>
                <w:color w:val="142B4A"/>
                <w:sz w:val="16"/>
              </w:rPr>
              <w:br/>
              <w:t>EP2308491B1 (Bradford et al.)</w:t>
            </w:r>
            <w:r>
              <w:rPr>
                <w:rFonts w:ascii="Calibri" w:hAnsi="Calibri"/>
                <w:b w:val="0"/>
                <w:i w:val="0"/>
                <w:color w:val="595959"/>
                <w:sz w:val="16"/>
              </w:rPr>
              <w:br/>
              <w:t>or equally US20080124407A1 (Eaton et al.), NPL:FDA-LABEL-NDA021782-2010-11-12 (Drugs@FDA label 2010) or WO2002005850A2 (Meyer)</w:t>
            </w:r>
            <w:r>
              <w:rPr>
                <w:rFonts w:ascii="Calibri" w:hAnsi="Calibri"/>
                <w:b/>
                <w:i w:val="0"/>
                <w:color w:val="142B4A"/>
                <w:sz w:val="16"/>
              </w:rPr>
              <w:br/>
              <w:t>US20040044064A1 (Lewy et al.)</w:t>
            </w:r>
            <w:r>
              <w:rPr>
                <w:rFonts w:ascii="Calibri" w:hAnsi="Calibri"/>
                <w:b w:val="0"/>
                <w:i w:val="0"/>
                <w:color w:val="595959"/>
                <w:sz w:val="16"/>
              </w:rPr>
              <w:br/>
              <w:t>or equally NCT:NCT01429116 (ClinicalTrials.gov 2011), NCT:NCT01430754 (ClinicalTrials.gov 2011) or PMID:17969867 (Lockley et al. 2007)</w:t>
            </w:r>
            <w:r>
              <w:rPr>
                <w:rFonts w:ascii="Calibri" w:hAnsi="Calibri"/>
                <w:b/>
                <w:i w:val="0"/>
                <w:color w:val="142B4A"/>
                <w:sz w:val="16"/>
              </w:rPr>
              <w:br/>
              <w:t>US20100056622A1 (Lauterbach)</w:t>
            </w:r>
            <w:r>
              <w:rPr>
                <w:rFonts w:ascii="Calibri" w:hAnsi="Calibri"/>
                <w:b w:val="0"/>
                <w:i w:val="0"/>
                <w:color w:val="595959"/>
                <w:sz w:val="16"/>
              </w:rPr>
              <w:br/>
              <w:t>or equally PMID:12882588 (Niemi et al. 2003)</w:t>
            </w:r>
          </w:p>
        </w:tc>
        <w:tc>
          <w:tcPr>
            <w:tcW w:type="dxa" w:w="1008"/>
          </w:tcPr>
          <w:p>
            <w:pPr>
              <w:spacing w:after="0" w:before="0"/>
            </w:pPr>
            <w:r/>
            <w:r>
              <w:rPr>
                <w:rFonts w:ascii="Calibri" w:hAnsi="Calibri"/>
                <w:b w:val="0"/>
                <w:i w:val="0"/>
                <w:sz w:val="16"/>
              </w:rPr>
              <w:t>9 of 9</w:t>
            </w:r>
          </w:p>
        </w:tc>
        <w:tc>
          <w:tcPr>
            <w:tcW w:type="dxa" w:w="1152"/>
          </w:tcPr>
          <w:p>
            <w:pPr>
              <w:spacing w:after="0" w:before="0"/>
            </w:pPr>
            <w:r/>
            <w:r>
              <w:rPr>
                <w:rFonts w:ascii="Calibri" w:hAnsi="Calibri"/>
                <w:b w:val="0"/>
                <w:i w:val="0"/>
                <w:sz w:val="16"/>
              </w:rPr>
              <w:t>none</w:t>
            </w:r>
          </w:p>
        </w:tc>
        <w:tc>
          <w:tcPr>
            <w:tcW w:type="dxa" w:w="2448"/>
          </w:tcPr>
          <w:p>
            <w:pPr>
              <w:spacing w:after="0" w:before="0"/>
            </w:pPr>
            <w:r/>
            <w:r>
              <w:rPr>
                <w:rFonts w:ascii="Calibri" w:hAnsi="Calibri"/>
                <w:b w:val="0"/>
                <w:i w:val="0"/>
                <w:sz w:val="16"/>
              </w:rPr>
              <w:t>(the best set)</w:t>
            </w:r>
          </w:p>
        </w:tc>
        <w:tc>
          <w:tcPr>
            <w:tcW w:type="dxa" w:w="2160"/>
          </w:tcPr>
          <w:p>
            <w:pPr>
              <w:spacing w:after="0" w:before="0"/>
            </w:pPr>
            <w:r/>
            <w:r>
              <w:rPr>
                <w:rFonts w:ascii="Calibri" w:hAnsi="Calibri"/>
                <w:b w:val="0"/>
                <w:i w:val="0"/>
                <w:sz w:val="16"/>
              </w:rPr>
              <w:t>Support with a documented objection</w:t>
            </w:r>
          </w:p>
        </w:tc>
      </w:tr>
      <w:tr>
        <w:tc>
          <w:tcPr>
            <w:tcW w:type="dxa" w:w="1152"/>
            <w:shd w:val="clear" w:color="auto" w:fill="F4F6FA"/>
          </w:tcPr>
          <w:p>
            <w:pPr>
              <w:spacing w:after="0" w:before="0"/>
            </w:pPr>
            <w:r/>
            <w:r>
              <w:rPr>
                <w:rFonts w:ascii="Calibri" w:hAnsi="Calibri"/>
                <w:b w:val="0"/>
                <w:i w:val="0"/>
                <w:sz w:val="16"/>
              </w:rPr>
              <w:t>Alternate 1</w:t>
            </w:r>
          </w:p>
        </w:tc>
        <w:tc>
          <w:tcPr>
            <w:tcW w:type="dxa" w:w="2448"/>
            <w:shd w:val="clear" w:color="auto" w:fill="F4F6FA"/>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br/>
              <w:t>or equally NCT:NCT01163032 (ClinicalTrials.gov 2010), NCT:NCT01429116 (ClinicalTrials.gov 2011) or PMID:17969867 (Lockley et al. 2007)</w:t>
            </w:r>
            <w:r>
              <w:rPr>
                <w:rFonts w:ascii="Calibri" w:hAnsi="Calibri"/>
                <w:b/>
                <w:i w:val="0"/>
                <w:color w:val="142B4A"/>
                <w:sz w:val="16"/>
              </w:rPr>
              <w:br/>
              <w:t>NCT:NCT01430754 (ClinicalTrials.gov 2011)</w:t>
            </w:r>
            <w:r>
              <w:rPr>
                <w:rFonts w:ascii="Calibri" w:hAnsi="Calibri"/>
                <w:b w:val="0"/>
                <w:i w:val="0"/>
                <w:color w:val="595959"/>
                <w:sz w:val="16"/>
              </w:rPr>
              <w:br/>
              <w:t>or equally NCT:NCT01429116 (ClinicalTrials.gov 2011), PMID:17969867 (Lockley et al. 2007) or PMID:19054552 (Rajaratnam et al. 2009)</w:t>
            </w:r>
            <w:r>
              <w:rPr>
                <w:rFonts w:ascii="Calibri" w:hAnsi="Calibri"/>
                <w:b/>
                <w:i w:val="0"/>
                <w:color w:val="142B4A"/>
                <w:sz w:val="16"/>
              </w:rPr>
              <w:br/>
              <w:t>EP2308491B1 (Bradford et al.)</w:t>
            </w:r>
            <w:r>
              <w:rPr>
                <w:rFonts w:ascii="Calibri" w:hAnsi="Calibri"/>
                <w:b w:val="0"/>
                <w:i w:val="0"/>
                <w:color w:val="595959"/>
                <w:sz w:val="16"/>
              </w:rPr>
              <w:br/>
              <w:t>or equally US20080124407A1 (Eaton et al.), NPL:FDA-LABEL-NDA021782-2010-11-12 (Drugs@FDA label 2010) or WO2002005850A2 (Meyer)</w:t>
            </w:r>
            <w:r>
              <w:rPr>
                <w:rFonts w:ascii="Calibri" w:hAnsi="Calibri"/>
                <w:b/>
                <w:i w:val="0"/>
                <w:color w:val="142B4A"/>
                <w:sz w:val="16"/>
              </w:rPr>
              <w:br/>
              <w:t>US20100056622A1 (Lauterbach)</w:t>
            </w:r>
            <w:r>
              <w:rPr>
                <w:rFonts w:ascii="Calibri" w:hAnsi="Calibri"/>
                <w:b w:val="0"/>
                <w:i w:val="0"/>
                <w:color w:val="595959"/>
                <w:sz w:val="16"/>
              </w:rPr>
              <w:br/>
              <w:t>or equally PMID:12882588 (Niemi et al. 2003)</w:t>
            </w:r>
          </w:p>
        </w:tc>
        <w:tc>
          <w:tcPr>
            <w:tcW w:type="dxa" w:w="1008"/>
            <w:shd w:val="clear" w:color="auto" w:fill="F4F6FA"/>
          </w:tcPr>
          <w:p>
            <w:pPr>
              <w:spacing w:after="0" w:before="0"/>
            </w:pPr>
            <w:r/>
            <w:r>
              <w:rPr>
                <w:rFonts w:ascii="Calibri" w:hAnsi="Calibri"/>
                <w:b w:val="0"/>
                <w:i w:val="0"/>
                <w:sz w:val="16"/>
              </w:rPr>
              <w:t>9 of 9</w:t>
            </w:r>
          </w:p>
        </w:tc>
        <w:tc>
          <w:tcPr>
            <w:tcW w:type="dxa" w:w="1152"/>
            <w:shd w:val="clear" w:color="auto" w:fill="F4F6FA"/>
          </w:tcPr>
          <w:p>
            <w:pPr>
              <w:spacing w:after="0" w:before="0"/>
            </w:pPr>
            <w:r/>
            <w:r>
              <w:rPr>
                <w:rFonts w:ascii="Calibri" w:hAnsi="Calibri"/>
                <w:b w:val="0"/>
                <w:i w:val="0"/>
                <w:sz w:val="16"/>
              </w:rPr>
              <w:t>none</w:t>
            </w:r>
          </w:p>
        </w:tc>
        <w:tc>
          <w:tcPr>
            <w:tcW w:type="dxa" w:w="2448"/>
            <w:shd w:val="clear" w:color="auto" w:fill="F4F6FA"/>
          </w:tcPr>
          <w:p>
            <w:pPr>
              <w:spacing w:after="0" w:before="0"/>
            </w:pPr>
            <w:r/>
            <w:r>
              <w:rPr>
                <w:rFonts w:ascii="Calibri" w:hAnsi="Calibri"/>
                <w:b w:val="0"/>
                <w:i w:val="0"/>
                <w:sz w:val="16"/>
              </w:rPr>
              <w:t>shares 3 of 4 member(s) -- a variant of the best set</w:t>
            </w:r>
          </w:p>
        </w:tc>
        <w:tc>
          <w:tcPr>
            <w:tcW w:type="dxa" w:w="2160"/>
            <w:shd w:val="clear" w:color="auto" w:fill="F4F6FA"/>
          </w:tcPr>
          <w:p>
            <w:pPr>
              <w:spacing w:after="0" w:before="0"/>
            </w:pPr>
            <w:r/>
            <w:r>
              <w:rPr>
                <w:rFonts w:ascii="Calibri" w:hAnsi="Calibri"/>
                <w:b w:val="0"/>
                <w:i w:val="0"/>
                <w:sz w:val="16"/>
              </w:rPr>
              <w:t>Support with a documented objection</w:t>
            </w:r>
          </w:p>
        </w:tc>
      </w:tr>
      <w:tr>
        <w:tc>
          <w:tcPr>
            <w:tcW w:type="dxa" w:w="1152"/>
          </w:tcPr>
          <w:p>
            <w:pPr>
              <w:spacing w:after="0" w:before="0"/>
            </w:pPr>
            <w:r/>
            <w:r>
              <w:rPr>
                <w:rFonts w:ascii="Calibri" w:hAnsi="Calibri"/>
                <w:b w:val="0"/>
                <w:i w:val="0"/>
                <w:sz w:val="16"/>
              </w:rPr>
              <w:t>Alternate 2</w:t>
            </w:r>
          </w:p>
        </w:tc>
        <w:tc>
          <w:tcPr>
            <w:tcW w:type="dxa" w:w="2448"/>
          </w:tcPr>
          <w:p>
            <w:pPr>
              <w:spacing w:after="0" w:before="0"/>
            </w:pPr>
            <w:r/>
            <w:r>
              <w:rPr>
                <w:rFonts w:ascii="Calibri" w:hAnsi="Calibri"/>
                <w:b/>
                <w:i w:val="0"/>
                <w:color w:val="142B4A"/>
                <w:sz w:val="16"/>
              </w:rPr>
              <w:t>NCT:NCT01218789 (ClinicalTrials.gov 2010)</w:t>
            </w:r>
            <w:r>
              <w:rPr>
                <w:rFonts w:ascii="Calibri" w:hAnsi="Calibri"/>
                <w:b w:val="0"/>
                <w:i w:val="0"/>
                <w:color w:val="595959"/>
                <w:sz w:val="16"/>
              </w:rPr>
              <w:br/>
              <w:t>or equally NCT:NCT01163032 (ClinicalTrials.gov 2010), NCT:NCT01429116 (ClinicalTrials.gov 2011) or PMID:17969867 (Lockley et al. 2007)</w:t>
            </w:r>
            <w:r>
              <w:rPr>
                <w:rFonts w:ascii="Calibri" w:hAnsi="Calibri"/>
                <w:b/>
                <w:i w:val="0"/>
                <w:color w:val="142B4A"/>
                <w:sz w:val="16"/>
              </w:rPr>
              <w:br/>
              <w:t>PMID:19054552 (Rajaratnam et al. 2009)</w:t>
            </w:r>
            <w:r>
              <w:rPr>
                <w:rFonts w:ascii="Calibri" w:hAnsi="Calibri"/>
                <w:b w:val="0"/>
                <w:i w:val="0"/>
                <w:color w:val="595959"/>
                <w:sz w:val="16"/>
              </w:rPr>
              <w:br/>
              <w:t>or equally NCT:NCT01429116 (ClinicalTrials.gov 2011), NCT:NCT01430754 (ClinicalTrials.gov 2011) or PMID:17969867 (Lockley et al. 2007)</w:t>
            </w:r>
            <w:r>
              <w:rPr>
                <w:rFonts w:ascii="Calibri" w:hAnsi="Calibri"/>
                <w:b/>
                <w:i w:val="0"/>
                <w:color w:val="142B4A"/>
                <w:sz w:val="16"/>
              </w:rPr>
              <w:br/>
              <w:t>EP2308491B1 (Bradford et al.)</w:t>
            </w:r>
            <w:r>
              <w:rPr>
                <w:rFonts w:ascii="Calibri" w:hAnsi="Calibri"/>
                <w:b w:val="0"/>
                <w:i w:val="0"/>
                <w:color w:val="595959"/>
                <w:sz w:val="16"/>
              </w:rPr>
              <w:br/>
              <w:t>or equally US20080124407A1 (Eaton et al.), NPL:FDA-LABEL-NDA021782-2010-11-12 (Drugs@FDA label 2010) or WO2002005850A2 (Meyer)</w:t>
            </w:r>
            <w:r>
              <w:rPr>
                <w:rFonts w:ascii="Calibri" w:hAnsi="Calibri"/>
                <w:b/>
                <w:i w:val="0"/>
                <w:color w:val="142B4A"/>
                <w:sz w:val="16"/>
              </w:rPr>
              <w:br/>
              <w:t>US20100056622A1 (Lauterbach)</w:t>
            </w:r>
            <w:r>
              <w:rPr>
                <w:rFonts w:ascii="Calibri" w:hAnsi="Calibri"/>
                <w:b w:val="0"/>
                <w:i w:val="0"/>
                <w:color w:val="595959"/>
                <w:sz w:val="16"/>
              </w:rPr>
              <w:br/>
              <w:t>or equally PMID:12882588 (Niemi et al. 2003)</w:t>
            </w:r>
          </w:p>
        </w:tc>
        <w:tc>
          <w:tcPr>
            <w:tcW w:type="dxa" w:w="1008"/>
          </w:tcPr>
          <w:p>
            <w:pPr>
              <w:spacing w:after="0" w:before="0"/>
            </w:pPr>
            <w:r/>
            <w:r>
              <w:rPr>
                <w:rFonts w:ascii="Calibri" w:hAnsi="Calibri"/>
                <w:b w:val="0"/>
                <w:i w:val="0"/>
                <w:sz w:val="16"/>
              </w:rPr>
              <w:t>9 of 9</w:t>
            </w:r>
          </w:p>
        </w:tc>
        <w:tc>
          <w:tcPr>
            <w:tcW w:type="dxa" w:w="1152"/>
          </w:tcPr>
          <w:p>
            <w:pPr>
              <w:spacing w:after="0" w:before="0"/>
            </w:pPr>
            <w:r/>
            <w:r>
              <w:rPr>
                <w:rFonts w:ascii="Calibri" w:hAnsi="Calibri"/>
                <w:b w:val="0"/>
                <w:i w:val="0"/>
                <w:sz w:val="16"/>
              </w:rPr>
              <w:t>none</w:t>
            </w:r>
          </w:p>
        </w:tc>
        <w:tc>
          <w:tcPr>
            <w:tcW w:type="dxa" w:w="2448"/>
          </w:tcPr>
          <w:p>
            <w:pPr>
              <w:spacing w:after="0" w:before="0"/>
            </w:pPr>
            <w:r/>
            <w:r>
              <w:rPr>
                <w:rFonts w:ascii="Calibri" w:hAnsi="Calibri"/>
                <w:b w:val="0"/>
                <w:i w:val="0"/>
                <w:sz w:val="16"/>
              </w:rPr>
              <w:t>shares 3 of 4 member(s) -- a variant of the best set</w:t>
            </w:r>
          </w:p>
        </w:tc>
        <w:tc>
          <w:tcPr>
            <w:tcW w:type="dxa" w:w="2160"/>
          </w:tcPr>
          <w:p>
            <w:pPr>
              <w:spacing w:after="0" w:before="0"/>
            </w:pPr>
            <w:r/>
            <w:r>
              <w:rPr>
                <w:rFonts w:ascii="Calibri" w:hAnsi="Calibri"/>
                <w:b w:val="0"/>
                <w:i w:val="0"/>
                <w:sz w:val="16"/>
              </w:rPr>
              <w:t>Support with a documented objection</w:t>
            </w:r>
          </w:p>
        </w:tc>
      </w:tr>
    </w:tbl>
    <w:p>
      <w:pPr>
        <w:spacing w:after="40" w:before="0"/>
      </w:pPr>
    </w:p>
    <w:p>
      <w:pPr>
        <w:keepNext/>
        <w:spacing w:before="120" w:after="40"/>
      </w:pPr>
      <w:r>
        <w:rPr>
          <w:rFonts w:ascii="Calibri Light" w:hAnsi="Calibri Light"/>
          <w:b/>
          <w:i w:val="0"/>
          <w:color w:val="142B4A"/>
          <w:sz w:val="23"/>
        </w:rPr>
        <w:t>Campaign strip</w:t>
      </w:r>
    </w:p>
    <w:tbl>
      <w:tblPr>
        <w:tblStyle w:val="TableGrid"/>
        <w:tblW w:type="auto" w:w="0"/>
        <w:tblLook w:firstColumn="1" w:firstRow="1" w:lastColumn="0" w:lastRow="0" w:noHBand="0" w:noVBand="1" w:val="04A0"/>
      </w:tblPr>
      <w:tblGrid>
        <w:gridCol w:w="2412"/>
        <w:gridCol w:w="2412"/>
        <w:gridCol w:w="2412"/>
        <w:gridCol w:w="2412"/>
      </w:tblGrid>
      <w:tr>
        <w:tc>
          <w:tcPr>
            <w:tcW w:type="dxa" w:w="1152"/>
            <w:shd w:val="clear" w:color="auto" w:fill="142B4A"/>
          </w:tcPr>
          <w:p>
            <w:pPr>
              <w:spacing w:after="0" w:before="0"/>
            </w:pPr>
            <w:r/>
            <w:r>
              <w:rPr>
                <w:rFonts w:ascii="Calibri" w:hAnsi="Calibri"/>
                <w:b/>
                <w:i w:val="0"/>
                <w:color w:val="C9A227"/>
                <w:sz w:val="15"/>
              </w:rPr>
              <w:t>CYCLE</w:t>
            </w:r>
          </w:p>
        </w:tc>
        <w:tc>
          <w:tcPr>
            <w:tcW w:type="dxa" w:w="1728"/>
            <w:shd w:val="clear" w:color="auto" w:fill="142B4A"/>
          </w:tcPr>
          <w:p>
            <w:pPr>
              <w:spacing w:after="0" w:before="0"/>
            </w:pPr>
            <w:r/>
            <w:r>
              <w:rPr>
                <w:rFonts w:ascii="Calibri" w:hAnsi="Calibri"/>
                <w:b/>
                <w:i w:val="0"/>
                <w:color w:val="C9A227"/>
                <w:sz w:val="15"/>
              </w:rPr>
              <w:t>GAPS OPEN</w:t>
            </w:r>
          </w:p>
        </w:tc>
        <w:tc>
          <w:tcPr>
            <w:tcW w:type="dxa" w:w="3456"/>
            <w:shd w:val="clear" w:color="auto" w:fill="142B4A"/>
          </w:tcPr>
          <w:p>
            <w:pPr>
              <w:spacing w:after="0" w:before="0"/>
            </w:pPr>
            <w:r/>
            <w:r>
              <w:rPr>
                <w:rFonts w:ascii="Calibri" w:hAnsi="Calibri"/>
                <w:b/>
                <w:i w:val="0"/>
                <w:color w:val="C9A227"/>
                <w:sz w:val="15"/>
              </w:rPr>
              <w:t>TERRITORIES ADDED</w:t>
            </w:r>
          </w:p>
        </w:tc>
        <w:tc>
          <w:tcPr>
            <w:tcW w:type="dxa" w:w="1728"/>
            <w:shd w:val="clear" w:color="auto" w:fill="142B4A"/>
          </w:tcPr>
          <w:p>
            <w:pPr>
              <w:spacing w:after="0" w:before="0"/>
            </w:pPr>
            <w:r/>
            <w:r>
              <w:rPr>
                <w:rFonts w:ascii="Calibri" w:hAnsi="Calibri"/>
                <w:b/>
                <w:i w:val="0"/>
                <w:color w:val="C9A227"/>
                <w:sz w:val="15"/>
              </w:rPr>
              <w:t>JOB</w:t>
            </w:r>
          </w:p>
        </w:tc>
      </w:tr>
      <w:tr>
        <w:tc>
          <w:tcPr>
            <w:tcW w:type="dxa" w:w="1152"/>
          </w:tcPr>
          <w:p>
            <w:pPr>
              <w:spacing w:after="0" w:before="0"/>
            </w:pPr>
            <w:r/>
            <w:r>
              <w:rPr>
                <w:rFonts w:ascii="Calibri" w:hAnsi="Calibri"/>
                <w:b w:val="0"/>
                <w:i w:val="0"/>
                <w:sz w:val="16"/>
              </w:rPr>
              <w:t>1</w:t>
            </w:r>
          </w:p>
        </w:tc>
        <w:tc>
          <w:tcPr>
            <w:tcW w:type="dxa" w:w="1728"/>
          </w:tcPr>
          <w:p>
            <w:pPr>
              <w:spacing w:after="0" w:before="0"/>
            </w:pPr>
            <w:r/>
            <w:r>
              <w:rPr>
                <w:rFonts w:ascii="Calibri" w:hAnsi="Calibri"/>
                <w:b w:val="0"/>
                <w:i w:val="0"/>
                <w:sz w:val="16"/>
              </w:rPr>
              <w:t>0</w:t>
            </w:r>
          </w:p>
        </w:tc>
        <w:tc>
          <w:tcPr>
            <w:tcW w:type="dxa" w:w="3456"/>
          </w:tcPr>
          <w:p>
            <w:pPr>
              <w:spacing w:after="0" w:before="0"/>
            </w:pPr>
            <w:r/>
            <w:r>
              <w:rPr>
                <w:rFonts w:ascii="Calibri" w:hAnsi="Calibri"/>
                <w:b w:val="0"/>
                <w:i w:val="0"/>
                <w:sz w:val="16"/>
              </w:rPr>
              <w:t>0</w:t>
            </w:r>
          </w:p>
        </w:tc>
        <w:tc>
          <w:tcPr>
            <w:tcW w:type="dxa" w:w="1728"/>
          </w:tcPr>
          <w:p>
            <w:pPr>
              <w:spacing w:after="0" w:before="0"/>
            </w:pPr>
            <w:r/>
            <w:r>
              <w:rPr>
                <w:rFonts w:ascii="Calibri" w:hAnsi="Calibri"/>
                <w:b w:val="0"/>
                <w:i w:val="0"/>
                <w:sz w:val="16"/>
              </w:rPr>
              <w:t>c2663236</w:t>
            </w:r>
          </w:p>
        </w:tc>
      </w:tr>
      <w:tr>
        <w:tc>
          <w:tcPr>
            <w:tcW w:type="dxa" w:w="1152"/>
            <w:shd w:val="clear" w:color="auto" w:fill="F4F6FA"/>
          </w:tcPr>
          <w:p>
            <w:pPr>
              <w:spacing w:after="0" w:before="0"/>
            </w:pPr>
            <w:r/>
            <w:r>
              <w:rPr>
                <w:rFonts w:ascii="Calibri" w:hAnsi="Calibri"/>
                <w:b w:val="0"/>
                <w:i w:val="0"/>
                <w:sz w:val="16"/>
              </w:rPr>
              <w:t>2</w:t>
            </w:r>
          </w:p>
        </w:tc>
        <w:tc>
          <w:tcPr>
            <w:tcW w:type="dxa" w:w="1728"/>
            <w:shd w:val="clear" w:color="auto" w:fill="F4F6FA"/>
          </w:tcPr>
          <w:p>
            <w:pPr>
              <w:spacing w:after="0" w:before="0"/>
            </w:pPr>
            <w:r/>
            <w:r>
              <w:rPr>
                <w:rFonts w:ascii="Calibri" w:hAnsi="Calibri"/>
                <w:b w:val="0"/>
                <w:i w:val="0"/>
                <w:sz w:val="16"/>
              </w:rPr>
              <w:t>0</w:t>
            </w:r>
          </w:p>
        </w:tc>
        <w:tc>
          <w:tcPr>
            <w:tcW w:type="dxa" w:w="3456"/>
            <w:shd w:val="clear" w:color="auto" w:fill="F4F6FA"/>
          </w:tcPr>
          <w:p>
            <w:pPr>
              <w:spacing w:after="0" w:before="0"/>
            </w:pPr>
            <w:r/>
            <w:r>
              <w:rPr>
                <w:rFonts w:ascii="Calibri" w:hAnsi="Calibri"/>
                <w:b w:val="0"/>
                <w:i w:val="0"/>
                <w:sz w:val="16"/>
              </w:rPr>
              <w:t>3</w:t>
            </w:r>
          </w:p>
        </w:tc>
        <w:tc>
          <w:tcPr>
            <w:tcW w:type="dxa" w:w="1728"/>
            <w:shd w:val="clear" w:color="auto" w:fill="F4F6FA"/>
          </w:tcPr>
          <w:p>
            <w:pPr>
              <w:spacing w:after="0" w:before="0"/>
            </w:pPr>
            <w:r/>
            <w:r>
              <w:rPr>
                <w:rFonts w:ascii="Calibri" w:hAnsi="Calibri"/>
                <w:b w:val="0"/>
                <w:i w:val="0"/>
                <w:sz w:val="16"/>
              </w:rPr>
              <w:t>b904c0d9</w:t>
            </w:r>
          </w:p>
        </w:tc>
      </w:tr>
    </w:tbl>
    <w:p>
      <w:pPr>
        <w:spacing w:after="40" w:before="0"/>
      </w:pPr>
    </w:p>
    <w:p>
      <w:pPr>
        <w:spacing w:after="80" w:before="0"/>
      </w:pPr>
      <w:r>
        <w:rPr>
          <w:rFonts w:ascii="Calibri" w:hAnsi="Calibri"/>
          <w:b w:val="0"/>
          <w:i/>
          <w:color w:val="595959"/>
          <w:sz w:val="17"/>
        </w:rPr>
        <w:t>Each row is one autopilot cycle: the gaps still open after it and the territories it added. "Gaps open" counts pieces with no covering reference; pieces HELD OPEN (only inferred, by analogy, or order not shown) are listed in 03a.</w:t>
      </w:r>
    </w:p>
    <w:p>
      <w:pPr>
        <w:keepNext/>
        <w:spacing w:before="120" w:after="40"/>
      </w:pPr>
      <w:r>
        <w:rPr>
          <w:rFonts w:ascii="Calibri Light" w:hAnsi="Calibri Light"/>
          <w:b/>
          <w:i w:val="0"/>
          <w:color w:val="142B4A"/>
          <w:sz w:val="23"/>
        </w:rPr>
        <w:t>03d · Why the similar drug counts — papers naming both drugs</w:t>
      </w:r>
    </w:p>
    <w:p>
      <w:pPr>
        <w:spacing w:after="80" w:before="0"/>
      </w:pPr>
      <w:r>
        <w:rPr>
          <w:rFonts w:ascii="Calibri" w:hAnsi="Calibri"/>
          <w:b w:val="0"/>
          <w:i w:val="0"/>
          <w:sz w:val="18"/>
        </w:rPr>
        <w:t>Sentences, copied verbatim, that name the claimed compound and a similar drug together with a property they share (receptor, affinity, half-life, metabolism). They are the factual basis a reader needs before carrying a teaching from one drug to the other; whether it carries over is counsel's call.</w:t>
      </w:r>
    </w:p>
    <w:tbl>
      <w:tblPr>
        <w:tblStyle w:val="TableGrid"/>
        <w:tblW w:type="auto" w:w="0"/>
        <w:tblLook w:firstColumn="1" w:firstRow="1" w:lastColumn="0" w:lastRow="0" w:noHBand="0" w:noVBand="1" w:val="04A0"/>
      </w:tblPr>
      <w:tblGrid>
        <w:gridCol w:w="3216"/>
        <w:gridCol w:w="3216"/>
        <w:gridCol w:w="3216"/>
      </w:tblGrid>
      <w:tr>
        <w:tc>
          <w:tcPr>
            <w:tcW w:type="dxa" w:w="1440"/>
            <w:shd w:val="clear" w:color="auto" w:fill="142B4A"/>
          </w:tcPr>
          <w:p>
            <w:pPr>
              <w:spacing w:after="0" w:before="0"/>
            </w:pPr>
            <w:r/>
            <w:r>
              <w:rPr>
                <w:rFonts w:ascii="Calibri" w:hAnsi="Calibri"/>
                <w:b/>
                <w:i w:val="0"/>
                <w:color w:val="C9A227"/>
                <w:sz w:val="15"/>
              </w:rPr>
              <w:t>SIMILAR DRUG</w:t>
            </w:r>
          </w:p>
        </w:tc>
        <w:tc>
          <w:tcPr>
            <w:tcW w:type="dxa" w:w="2304"/>
            <w:shd w:val="clear" w:color="auto" w:fill="142B4A"/>
          </w:tcPr>
          <w:p>
            <w:pPr>
              <w:spacing w:after="0" w:before="0"/>
            </w:pPr>
            <w:r/>
            <w:r>
              <w:rPr>
                <w:rFonts w:ascii="Calibri" w:hAnsi="Calibri"/>
                <w:b/>
                <w:i w:val="0"/>
                <w:color w:val="C9A227"/>
                <w:sz w:val="15"/>
              </w:rPr>
              <w:t>PAPER · DATE</w:t>
            </w:r>
          </w:p>
        </w:tc>
        <w:tc>
          <w:tcPr>
            <w:tcW w:type="dxa" w:w="6336"/>
            <w:shd w:val="clear" w:color="auto" w:fill="142B4A"/>
          </w:tcPr>
          <w:p>
            <w:pPr>
              <w:spacing w:after="0" w:before="0"/>
            </w:pPr>
            <w:r/>
            <w:r>
              <w:rPr>
                <w:rFonts w:ascii="Calibri" w:hAnsi="Calibri"/>
                <w:b/>
                <w:i w:val="0"/>
                <w:color w:val="C9A227"/>
                <w:sz w:val="15"/>
              </w:rPr>
              <w:t>WHAT IT SAYS (VERBATIM)</w:t>
            </w:r>
          </w:p>
        </w:tc>
      </w:tr>
      <w:tr>
        <w:tc>
          <w:tcPr>
            <w:tcW w:type="dxa" w:w="1440"/>
          </w:tcPr>
          <w:p>
            <w:pPr>
              <w:spacing w:after="0" w:before="0"/>
            </w:pPr>
            <w:r/>
            <w:r>
              <w:rPr>
                <w:rFonts w:ascii="Calibri" w:hAnsi="Calibri"/>
                <w:b w:val="0"/>
                <w:i w:val="0"/>
                <w:sz w:val="16"/>
              </w:rPr>
              <w:t>ramelteon</w:t>
            </w:r>
          </w:p>
        </w:tc>
        <w:tc>
          <w:tcPr>
            <w:tcW w:type="dxa" w:w="2304"/>
          </w:tcPr>
          <w:p>
            <w:pPr>
              <w:spacing w:after="0" w:before="0"/>
            </w:pPr>
            <w:r/>
            <w:r>
              <w:rPr>
                <w:rFonts w:ascii="Calibri" w:hAnsi="Calibri"/>
                <w:b/>
                <w:i w:val="0"/>
                <w:color w:val="142B4A"/>
                <w:sz w:val="16"/>
              </w:rPr>
              <w:t>PMID:20827520 (Srinivasan et al. 2010)</w:t>
            </w:r>
            <w:r>
              <w:rPr>
                <w:rFonts w:ascii="Calibri" w:hAnsi="Calibri"/>
                <w:b w:val="0"/>
                <w:i w:val="0"/>
                <w:color w:val="595959"/>
                <w:sz w:val="16"/>
              </w:rPr>
              <w:br/>
              <w:t>2010-09-06</w:t>
            </w:r>
          </w:p>
        </w:tc>
        <w:tc>
          <w:tcPr>
            <w:tcW w:type="dxa" w:w="6336"/>
          </w:tcPr>
          <w:p>
            <w:pPr>
              <w:spacing w:after="0" w:before="0"/>
            </w:pPr>
            <w:r/>
            <w:r>
              <w:rPr>
                <w:rFonts w:ascii="Calibri" w:hAnsi="Calibri"/>
                <w:b w:val="0"/>
                <w:i w:val="0"/>
                <w:sz w:val="16"/>
              </w:rPr>
              <w:t>“With the introduction of melatonergic agonists such as ramelteon and tasimelteon, which have both a stronger affinity for MT₁ and MT₂ melatonin receptors and a longer half-life, new therapeutic options now exist for treating the sleep disturbances associated with jet lag.”</w:t>
            </w:r>
          </w:p>
        </w:tc>
      </w:tr>
      <w:tr>
        <w:tc>
          <w:tcPr>
            <w:tcW w:type="dxa" w:w="1440"/>
            <w:shd w:val="clear" w:color="auto" w:fill="F4F6FA"/>
          </w:tcPr>
          <w:p>
            <w:pPr>
              <w:spacing w:after="0" w:before="0"/>
            </w:pPr>
            <w:r/>
            <w:r>
              <w:rPr>
                <w:rFonts w:ascii="Calibri" w:hAnsi="Calibri"/>
                <w:b w:val="0"/>
                <w:i w:val="0"/>
                <w:sz w:val="16"/>
              </w:rPr>
              <w:t>agomelatine</w:t>
            </w:r>
          </w:p>
        </w:tc>
        <w:tc>
          <w:tcPr>
            <w:tcW w:type="dxa" w:w="2304"/>
            <w:shd w:val="clear" w:color="auto" w:fill="F4F6FA"/>
          </w:tcPr>
          <w:p>
            <w:pPr>
              <w:spacing w:after="0" w:before="0"/>
            </w:pPr>
            <w:r/>
            <w:r>
              <w:rPr>
                <w:rFonts w:ascii="Calibri" w:hAnsi="Calibri"/>
                <w:b/>
                <w:i w:val="0"/>
                <w:color w:val="142B4A"/>
                <w:sz w:val="16"/>
              </w:rPr>
              <w:t>PMID:22680635 (Zlotos 2012)</w:t>
            </w:r>
            <w:r>
              <w:rPr>
                <w:rFonts w:ascii="Calibri" w:hAnsi="Calibri"/>
                <w:b w:val="0"/>
                <w:i w:val="0"/>
                <w:color w:val="595959"/>
                <w:sz w:val="16"/>
              </w:rPr>
              <w:br/>
              <w:t>2012-06-01</w:t>
            </w:r>
          </w:p>
        </w:tc>
        <w:tc>
          <w:tcPr>
            <w:tcW w:type="dxa" w:w="6336"/>
            <w:shd w:val="clear" w:color="auto" w:fill="F4F6FA"/>
          </w:tcPr>
          <w:p>
            <w:pPr>
              <w:spacing w:after="0" w:before="0"/>
            </w:pPr>
            <w:r/>
            <w:r>
              <w:rPr>
                <w:rFonts w:ascii="Calibri" w:hAnsi="Calibri"/>
                <w:b w:val="0"/>
                <w:i w:val="0"/>
                <w:sz w:val="16"/>
              </w:rPr>
              <w:t>“The melatoninergic drugs on the market, ramelteon and agomelatine, as well as the most advanced drug candidates under clinical evaluation, tasimelteon and PD-6735, are high-affinity nonselective MT(1) and MT(2) agonists.”</w:t>
            </w:r>
          </w:p>
        </w:tc>
      </w:tr>
      <w:tr>
        <w:tc>
          <w:tcPr>
            <w:tcW w:type="dxa" w:w="1440"/>
          </w:tcPr>
          <w:p>
            <w:pPr>
              <w:spacing w:after="0" w:before="0"/>
            </w:pPr>
            <w:r/>
            <w:r>
              <w:rPr>
                <w:rFonts w:ascii="Calibri" w:hAnsi="Calibri"/>
                <w:b w:val="0"/>
                <w:i w:val="0"/>
                <w:sz w:val="16"/>
              </w:rPr>
              <w:t>ramelteon</w:t>
            </w:r>
          </w:p>
        </w:tc>
        <w:tc>
          <w:tcPr>
            <w:tcW w:type="dxa" w:w="2304"/>
          </w:tcPr>
          <w:p>
            <w:pPr>
              <w:spacing w:after="0" w:before="0"/>
            </w:pPr>
            <w:r/>
            <w:r>
              <w:rPr>
                <w:rFonts w:ascii="Calibri" w:hAnsi="Calibri"/>
                <w:b/>
                <w:i w:val="0"/>
                <w:color w:val="142B4A"/>
                <w:sz w:val="16"/>
              </w:rPr>
              <w:t>PMID:22680635 (Zlotos 2012)</w:t>
            </w:r>
            <w:r>
              <w:rPr>
                <w:rFonts w:ascii="Calibri" w:hAnsi="Calibri"/>
                <w:b w:val="0"/>
                <w:i w:val="0"/>
                <w:color w:val="595959"/>
                <w:sz w:val="16"/>
              </w:rPr>
              <w:br/>
              <w:t>2012-06-01</w:t>
            </w:r>
          </w:p>
        </w:tc>
        <w:tc>
          <w:tcPr>
            <w:tcW w:type="dxa" w:w="6336"/>
          </w:tcPr>
          <w:p>
            <w:pPr>
              <w:spacing w:after="0" w:before="0"/>
            </w:pPr>
            <w:r/>
            <w:r>
              <w:rPr>
                <w:rFonts w:ascii="Calibri" w:hAnsi="Calibri"/>
                <w:b w:val="0"/>
                <w:i w:val="0"/>
                <w:sz w:val="16"/>
              </w:rPr>
              <w:t>“The melatoninergic drugs on the market, ramelteon and agomelatine, as well as the most advanced drug candidates under clinical evaluation, tasimelteon and PD-6735, are high-affinity nonselective MT(1) and MT(2) agonists.”</w:t>
            </w:r>
          </w:p>
        </w:tc>
      </w:tr>
      <w:tr>
        <w:tc>
          <w:tcPr>
            <w:tcW w:type="dxa" w:w="1440"/>
            <w:shd w:val="clear" w:color="auto" w:fill="F4F6FA"/>
          </w:tcPr>
          <w:p>
            <w:pPr>
              <w:spacing w:after="0" w:before="0"/>
            </w:pPr>
            <w:r/>
            <w:r>
              <w:rPr>
                <w:rFonts w:ascii="Calibri" w:hAnsi="Calibri"/>
                <w:b w:val="0"/>
                <w:i w:val="0"/>
                <w:sz w:val="16"/>
              </w:rPr>
              <w:t>agomelatine</w:t>
            </w:r>
          </w:p>
        </w:tc>
        <w:tc>
          <w:tcPr>
            <w:tcW w:type="dxa" w:w="2304"/>
            <w:shd w:val="clear" w:color="auto" w:fill="F4F6FA"/>
          </w:tcPr>
          <w:p>
            <w:pPr>
              <w:spacing w:after="0" w:before="0"/>
            </w:pPr>
            <w:r/>
            <w:r>
              <w:rPr>
                <w:rFonts w:ascii="Calibri" w:hAnsi="Calibri"/>
                <w:b/>
                <w:i w:val="0"/>
                <w:color w:val="142B4A"/>
                <w:sz w:val="16"/>
              </w:rPr>
              <w:t>PMID:19557144 (Hardeland 2009)</w:t>
            </w:r>
            <w:r>
              <w:rPr>
                <w:rFonts w:ascii="Calibri" w:hAnsi="Calibri"/>
                <w:b w:val="0"/>
                <w:i w:val="0"/>
                <w:color w:val="595959"/>
                <w:sz w:val="16"/>
              </w:rPr>
              <w:br/>
              <w:t>2009-12-31</w:t>
            </w:r>
          </w:p>
        </w:tc>
        <w:tc>
          <w:tcPr>
            <w:tcW w:type="dxa" w:w="6336"/>
            <w:shd w:val="clear" w:color="auto" w:fill="F4F6FA"/>
          </w:tcPr>
          <w:p>
            <w:pPr>
              <w:spacing w:after="0" w:before="0"/>
            </w:pPr>
            <w:r/>
            <w:r>
              <w:rPr>
                <w:rFonts w:ascii="Calibri" w:hAnsi="Calibri"/>
                <w:b w:val="0"/>
                <w:i w:val="0"/>
                <w:sz w:val="16"/>
              </w:rPr>
              <w:t>“, , More extensive studies on properties of metabolites are necessary for any of the synthetic melatoninergic drugs, including β-methyl-6-chloromelatonin, tasimelteon and agomelatine, in the last case also for the serotonin analog S 21517, and, most importantly, for the ramelteon metabolite M-II, because of the high concentrations attained and its long…”</w:t>
            </w:r>
          </w:p>
        </w:tc>
      </w:tr>
      <w:tr>
        <w:tc>
          <w:tcPr>
            <w:tcW w:type="dxa" w:w="1440"/>
          </w:tcPr>
          <w:p>
            <w:pPr>
              <w:spacing w:after="0" w:before="0"/>
            </w:pPr>
            <w:r/>
            <w:r>
              <w:rPr>
                <w:rFonts w:ascii="Calibri" w:hAnsi="Calibri"/>
                <w:b w:val="0"/>
                <w:i w:val="0"/>
                <w:sz w:val="16"/>
              </w:rPr>
              <w:t>ramelteon</w:t>
            </w:r>
          </w:p>
        </w:tc>
        <w:tc>
          <w:tcPr>
            <w:tcW w:type="dxa" w:w="2304"/>
          </w:tcPr>
          <w:p>
            <w:pPr>
              <w:spacing w:after="0" w:before="0"/>
            </w:pPr>
            <w:r/>
            <w:r>
              <w:rPr>
                <w:rFonts w:ascii="Calibri" w:hAnsi="Calibri"/>
                <w:b/>
                <w:i w:val="0"/>
                <w:color w:val="142B4A"/>
                <w:sz w:val="16"/>
              </w:rPr>
              <w:t>PMID:19557144 (Hardeland 2009)</w:t>
            </w:r>
            <w:r>
              <w:rPr>
                <w:rFonts w:ascii="Calibri" w:hAnsi="Calibri"/>
                <w:b w:val="0"/>
                <w:i w:val="0"/>
                <w:color w:val="595959"/>
                <w:sz w:val="16"/>
              </w:rPr>
              <w:br/>
              <w:t>2009-12-31</w:t>
            </w:r>
          </w:p>
        </w:tc>
        <w:tc>
          <w:tcPr>
            <w:tcW w:type="dxa" w:w="6336"/>
          </w:tcPr>
          <w:p>
            <w:pPr>
              <w:spacing w:after="0" w:before="0"/>
            </w:pPr>
            <w:r/>
            <w:r>
              <w:rPr>
                <w:rFonts w:ascii="Calibri" w:hAnsi="Calibri"/>
                <w:b w:val="0"/>
                <w:i w:val="0"/>
                <w:sz w:val="16"/>
              </w:rPr>
              <w:t>“, , More extensive studies on properties of metabolites are necessary for any of the synthetic melatoninergic drugs, including β-methyl-6-chloromelatonin, tasimelteon and agomelatine, in the last case also for the serotonin analog S 21517, and, most importantly, for the ramelteon metabolite M-II, because of the high concentrations attained and its long…”</w:t>
            </w:r>
          </w:p>
        </w:tc>
      </w:tr>
      <w:tr>
        <w:tc>
          <w:tcPr>
            <w:tcW w:type="dxa" w:w="1440"/>
            <w:shd w:val="clear" w:color="auto" w:fill="F4F6FA"/>
          </w:tcPr>
          <w:p>
            <w:pPr>
              <w:spacing w:after="0" w:before="0"/>
            </w:pPr>
            <w:r/>
            <w:r>
              <w:rPr>
                <w:rFonts w:ascii="Calibri" w:hAnsi="Calibri"/>
                <w:b w:val="0"/>
                <w:i w:val="0"/>
                <w:sz w:val="16"/>
              </w:rPr>
              <w:t>agomelatine</w:t>
            </w:r>
          </w:p>
        </w:tc>
        <w:tc>
          <w:tcPr>
            <w:tcW w:type="dxa" w:w="2304"/>
            <w:shd w:val="clear" w:color="auto" w:fill="F4F6FA"/>
          </w:tcPr>
          <w:p>
            <w:pPr>
              <w:spacing w:after="0" w:before="0"/>
            </w:pPr>
            <w:r/>
            <w:r>
              <w:rPr>
                <w:rFonts w:ascii="Calibri" w:hAnsi="Calibri"/>
                <w:b/>
                <w:i w:val="0"/>
                <w:color w:val="142B4A"/>
                <w:sz w:val="16"/>
              </w:rPr>
              <w:t>PMID:22640220 (Hardeland et al. 2012)</w:t>
            </w:r>
            <w:r>
              <w:rPr>
                <w:rFonts w:ascii="Calibri" w:hAnsi="Calibri"/>
                <w:b w:val="0"/>
                <w:i w:val="0"/>
                <w:color w:val="595959"/>
                <w:sz w:val="16"/>
              </w:rPr>
              <w:br/>
              <w:t>2012-08-01</w:t>
            </w:r>
          </w:p>
        </w:tc>
        <w:tc>
          <w:tcPr>
            <w:tcW w:type="dxa" w:w="6336"/>
            <w:shd w:val="clear" w:color="auto" w:fill="F4F6FA"/>
          </w:tcPr>
          <w:p>
            <w:pPr>
              <w:spacing w:after="0" w:before="0"/>
            </w:pPr>
            <w:r/>
            <w:r>
              <w:rPr>
                <w:rFonts w:ascii="Calibri" w:hAnsi="Calibri"/>
                <w:b w:val="0"/>
                <w:i w:val="0"/>
                <w:sz w:val="16"/>
              </w:rPr>
              <w:t>“The role as a sleep-promoting compound, which is limited by its short half-life in the circulation, has led to the development of controlled-release formulations and of various synthetic agonists, such as ramelteon, agomelatine, tasimelteon, TIK-301, UCM765 and UCM924.”</w:t>
            </w:r>
          </w:p>
        </w:tc>
      </w:tr>
      <w:tr>
        <w:tc>
          <w:tcPr>
            <w:tcW w:type="dxa" w:w="1440"/>
          </w:tcPr>
          <w:p>
            <w:pPr>
              <w:spacing w:after="0" w:before="0"/>
            </w:pPr>
            <w:r/>
            <w:r>
              <w:rPr>
                <w:rFonts w:ascii="Calibri" w:hAnsi="Calibri"/>
                <w:b w:val="0"/>
                <w:i w:val="0"/>
                <w:sz w:val="16"/>
              </w:rPr>
              <w:t>ramelteon</w:t>
            </w:r>
          </w:p>
        </w:tc>
        <w:tc>
          <w:tcPr>
            <w:tcW w:type="dxa" w:w="2304"/>
          </w:tcPr>
          <w:p>
            <w:pPr>
              <w:spacing w:after="0" w:before="0"/>
            </w:pPr>
            <w:r/>
            <w:r>
              <w:rPr>
                <w:rFonts w:ascii="Calibri" w:hAnsi="Calibri"/>
                <w:b/>
                <w:i w:val="0"/>
                <w:color w:val="142B4A"/>
                <w:sz w:val="16"/>
              </w:rPr>
              <w:t>PMID:22640220 (Hardeland et al. 2012)</w:t>
            </w:r>
            <w:r>
              <w:rPr>
                <w:rFonts w:ascii="Calibri" w:hAnsi="Calibri"/>
                <w:b w:val="0"/>
                <w:i w:val="0"/>
                <w:color w:val="595959"/>
                <w:sz w:val="16"/>
              </w:rPr>
              <w:br/>
              <w:t>2012-08-01</w:t>
            </w:r>
          </w:p>
        </w:tc>
        <w:tc>
          <w:tcPr>
            <w:tcW w:type="dxa" w:w="6336"/>
          </w:tcPr>
          <w:p>
            <w:pPr>
              <w:spacing w:after="0" w:before="0"/>
            </w:pPr>
            <w:r/>
            <w:r>
              <w:rPr>
                <w:rFonts w:ascii="Calibri" w:hAnsi="Calibri"/>
                <w:b w:val="0"/>
                <w:i w:val="0"/>
                <w:sz w:val="16"/>
              </w:rPr>
              <w:t>“The role as a sleep-promoting compound, which is limited by its short half-life in the circulation, has led to the development of controlled-release formulations and of various synthetic agonists, such as ramelteon, agomelatine, tasimelteon, TIK-301, UCM765 and UCM924.”</w:t>
            </w:r>
          </w:p>
        </w:tc>
      </w:tr>
      <w:tr>
        <w:tc>
          <w:tcPr>
            <w:tcW w:type="dxa" w:w="1440"/>
            <w:shd w:val="clear" w:color="auto" w:fill="F4F6FA"/>
          </w:tcPr>
          <w:p>
            <w:pPr>
              <w:spacing w:after="0" w:before="0"/>
            </w:pPr>
            <w:r/>
            <w:r>
              <w:rPr>
                <w:rFonts w:ascii="Calibri" w:hAnsi="Calibri"/>
                <w:b w:val="0"/>
                <w:i w:val="0"/>
                <w:sz w:val="16"/>
              </w:rPr>
              <w:t>agomelatine</w:t>
            </w:r>
          </w:p>
        </w:tc>
        <w:tc>
          <w:tcPr>
            <w:tcW w:type="dxa" w:w="2304"/>
            <w:shd w:val="clear" w:color="auto" w:fill="F4F6FA"/>
          </w:tcPr>
          <w:p>
            <w:pPr>
              <w:spacing w:after="0" w:before="0"/>
            </w:pPr>
            <w:r/>
            <w:r>
              <w:rPr>
                <w:rFonts w:ascii="Calibri" w:hAnsi="Calibri"/>
                <w:b/>
                <w:i w:val="0"/>
                <w:color w:val="142B4A"/>
                <w:sz w:val="16"/>
              </w:rPr>
              <w:t>DOI:10.4021/jnr.v2i3.93</w:t>
            </w:r>
            <w:r>
              <w:rPr>
                <w:rFonts w:ascii="Calibri" w:hAnsi="Calibri"/>
                <w:b w:val="0"/>
                <w:i w:val="0"/>
                <w:color w:val="595959"/>
                <w:sz w:val="16"/>
              </w:rPr>
              <w:br/>
              <w:t>2012-07-05</w:t>
            </w:r>
          </w:p>
        </w:tc>
        <w:tc>
          <w:tcPr>
            <w:tcW w:type="dxa" w:w="6336"/>
            <w:shd w:val="clear" w:color="auto" w:fill="F4F6FA"/>
          </w:tcPr>
          <w:p>
            <w:pPr>
              <w:spacing w:after="0" w:before="0"/>
            </w:pPr>
            <w:r/>
            <w:r>
              <w:rPr>
                <w:rFonts w:ascii="Calibri" w:hAnsi="Calibri"/>
                <w:b w:val="0"/>
                <w:i w:val="0"/>
                <w:sz w:val="16"/>
              </w:rPr>
              <w:t>“Besides melatonin, a number of melatonergic agonists such as ramelteon, agomelatine and tasimelteon are now used clinically for treating insomnia and other sleep disorders.”</w:t>
            </w:r>
          </w:p>
        </w:tc>
      </w:tr>
    </w:tbl>
    <w:p>
      <w:pPr>
        <w:spacing w:after="40" w:before="0"/>
      </w:pPr>
    </w:p>
    <w:p>
      <w:pPr>
        <w:keepNext/>
        <w:spacing w:before="120" w:after="40"/>
      </w:pPr>
      <w:r>
        <w:rPr>
          <w:rFonts w:ascii="Calibri Light" w:hAnsi="Calibri Light"/>
          <w:b/>
          <w:i w:val="0"/>
          <w:color w:val="142B4A"/>
          <w:sz w:val="23"/>
        </w:rPr>
        <w:t>Search depth — found versus read</w:t>
      </w:r>
    </w:p>
    <w:p>
      <w:pPr>
        <w:spacing w:after="80" w:before="0"/>
      </w:pPr>
      <w:r>
        <w:rPr>
          <w:rFonts w:ascii="Calibri" w:hAnsi="Calibri"/>
          <w:b w:val="0"/>
          <w:i w:val="0"/>
          <w:sz w:val="18"/>
        </w:rPr>
        <w:t>What each search returned and how much of it was actually read and graded on this run. A large gap between the two is where a missed reference would be; a later cycle reads further down the same lists.</w:t>
      </w:r>
    </w:p>
    <w:tbl>
      <w:tblPr>
        <w:tblStyle w:val="TableGrid"/>
        <w:tblW w:type="auto" w:w="0"/>
        <w:tblLook w:firstColumn="1" w:firstRow="1" w:lastColumn="0" w:lastRow="0" w:noHBand="0" w:noVBand="1" w:val="04A0"/>
      </w:tblPr>
      <w:tblGrid>
        <w:gridCol w:w="2412"/>
        <w:gridCol w:w="2412"/>
        <w:gridCol w:w="2412"/>
        <w:gridCol w:w="2412"/>
      </w:tblGrid>
      <w:tr>
        <w:tc>
          <w:tcPr>
            <w:tcW w:type="dxa" w:w="3456"/>
            <w:shd w:val="clear" w:color="auto" w:fill="142B4A"/>
          </w:tcPr>
          <w:p>
            <w:pPr>
              <w:spacing w:after="0" w:before="0"/>
            </w:pPr>
            <w:r/>
            <w:r>
              <w:rPr>
                <w:rFonts w:ascii="Calibri" w:hAnsi="Calibri"/>
                <w:b/>
                <w:i w:val="0"/>
                <w:color w:val="C9A227"/>
                <w:sz w:val="15"/>
              </w:rPr>
              <w:t>SEARCH</w:t>
            </w:r>
          </w:p>
        </w:tc>
        <w:tc>
          <w:tcPr>
            <w:tcW w:type="dxa" w:w="1296"/>
            <w:shd w:val="clear" w:color="auto" w:fill="142B4A"/>
          </w:tcPr>
          <w:p>
            <w:pPr>
              <w:spacing w:after="0" w:before="0"/>
            </w:pPr>
            <w:r/>
            <w:r>
              <w:rPr>
                <w:rFonts w:ascii="Calibri" w:hAnsi="Calibri"/>
                <w:b/>
                <w:i w:val="0"/>
                <w:color w:val="C9A227"/>
                <w:sz w:val="15"/>
              </w:rPr>
              <w:t>FOUND</w:t>
            </w:r>
          </w:p>
        </w:tc>
        <w:tc>
          <w:tcPr>
            <w:tcW w:type="dxa" w:w="1440"/>
            <w:shd w:val="clear" w:color="auto" w:fill="142B4A"/>
          </w:tcPr>
          <w:p>
            <w:pPr>
              <w:spacing w:after="0" w:before="0"/>
            </w:pPr>
            <w:r/>
            <w:r>
              <w:rPr>
                <w:rFonts w:ascii="Calibri" w:hAnsi="Calibri"/>
                <w:b/>
                <w:i w:val="0"/>
                <w:color w:val="C9A227"/>
                <w:sz w:val="15"/>
              </w:rPr>
              <w:t>READ / GRADED</w:t>
            </w:r>
          </w:p>
        </w:tc>
        <w:tc>
          <w:tcPr>
            <w:tcW w:type="dxa" w:w="3744"/>
            <w:shd w:val="clear" w:color="auto" w:fill="142B4A"/>
          </w:tcPr>
          <w:p>
            <w:pPr>
              <w:spacing w:after="0" w:before="0"/>
            </w:pPr>
            <w:r/>
            <w:r>
              <w:rPr>
                <w:rFonts w:ascii="Calibri" w:hAnsi="Calibri"/>
                <w:b/>
                <w:i w:val="0"/>
                <w:color w:val="C9A227"/>
                <w:sz w:val="15"/>
              </w:rPr>
              <w:t>NOTE</w:t>
            </w:r>
          </w:p>
        </w:tc>
      </w:tr>
      <w:tr>
        <w:tc>
          <w:tcPr>
            <w:tcW w:type="dxa" w:w="3456"/>
          </w:tcPr>
          <w:p>
            <w:pPr>
              <w:spacing w:after="0" w:before="0"/>
            </w:pPr>
            <w:r/>
            <w:r>
              <w:rPr>
                <w:rFonts w:ascii="Calibri" w:hAnsi="Calibri"/>
                <w:b w:val="0"/>
                <w:i w:val="0"/>
                <w:sz w:val="16"/>
              </w:rPr>
              <w:t>Patents first (open pieces, before any paper search)</w:t>
            </w:r>
          </w:p>
        </w:tc>
        <w:tc>
          <w:tcPr>
            <w:tcW w:type="dxa" w:w="1296"/>
          </w:tcPr>
          <w:p>
            <w:pPr>
              <w:spacing w:after="0" w:before="0"/>
            </w:pPr>
            <w:r/>
            <w:r>
              <w:rPr>
                <w:rFonts w:ascii="Calibri" w:hAnsi="Calibri"/>
                <w:b w:val="0"/>
                <w:i w:val="0"/>
                <w:sz w:val="16"/>
              </w:rPr>
              <w:t>5</w:t>
            </w:r>
          </w:p>
        </w:tc>
        <w:tc>
          <w:tcPr>
            <w:tcW w:type="dxa" w:w="1440"/>
          </w:tcPr>
          <w:p>
            <w:pPr>
              <w:spacing w:after="0" w:before="0"/>
            </w:pPr>
            <w:r/>
            <w:r>
              <w:rPr>
                <w:rFonts w:ascii="Calibri" w:hAnsi="Calibri"/>
                <w:b w:val="0"/>
                <w:i w:val="0"/>
                <w:sz w:val="16"/>
              </w:rPr>
              <w:t>5</w:t>
            </w:r>
          </w:p>
        </w:tc>
        <w:tc>
          <w:tcPr>
            <w:tcW w:type="dxa" w:w="3744"/>
          </w:tcPr>
          <w:p>
            <w:pPr>
              <w:spacing w:after="0" w:before="0"/>
            </w:pPr>
            <w:r/>
            <w:r>
              <w:rPr>
                <w:rFonts w:ascii="Calibri" w:hAnsi="Calibri"/>
                <w:b w:val="0"/>
                <w:i w:val="0"/>
                <w:sz w:val="16"/>
              </w:rPr>
              <w:t>0 promoted to a full grade; 6 piece(s) stated outright</w:t>
            </w:r>
          </w:p>
        </w:tc>
      </w:tr>
      <w:tr>
        <w:tc>
          <w:tcPr>
            <w:tcW w:type="dxa" w:w="3456"/>
            <w:shd w:val="clear" w:color="auto" w:fill="F4F6FA"/>
          </w:tcPr>
          <w:p>
            <w:pPr>
              <w:spacing w:after="0" w:before="0"/>
            </w:pPr>
            <w:r/>
            <w:r>
              <w:rPr>
                <w:rFonts w:ascii="Calibri" w:hAnsi="Calibri"/>
                <w:b w:val="0"/>
                <w:i w:val="0"/>
                <w:sz w:val="16"/>
              </w:rPr>
              <w:t>Literature (PubMed, Europe PMC, OpenAlex, ClinicalTrials.gov)</w:t>
            </w:r>
          </w:p>
        </w:tc>
        <w:tc>
          <w:tcPr>
            <w:tcW w:type="dxa" w:w="1296"/>
            <w:shd w:val="clear" w:color="auto" w:fill="F4F6FA"/>
          </w:tcPr>
          <w:p>
            <w:pPr>
              <w:spacing w:after="0" w:before="0"/>
            </w:pPr>
            <w:r/>
            <w:r>
              <w:rPr>
                <w:rFonts w:ascii="Calibri" w:hAnsi="Calibri"/>
                <w:b w:val="0"/>
                <w:i w:val="0"/>
                <w:sz w:val="16"/>
              </w:rPr>
              <w:t>44</w:t>
            </w:r>
          </w:p>
        </w:tc>
        <w:tc>
          <w:tcPr>
            <w:tcW w:type="dxa" w:w="1440"/>
            <w:shd w:val="clear" w:color="auto" w:fill="F4F6FA"/>
          </w:tcPr>
          <w:p>
            <w:pPr>
              <w:spacing w:after="0" w:before="0"/>
            </w:pPr>
            <w:r/>
            <w:r>
              <w:rPr>
                <w:rFonts w:ascii="Calibri" w:hAnsi="Calibri"/>
                <w:b w:val="0"/>
                <w:i w:val="0"/>
                <w:sz w:val="16"/>
              </w:rPr>
              <w:t>0</w:t>
            </w:r>
          </w:p>
        </w:tc>
        <w:tc>
          <w:tcPr>
            <w:tcW w:type="dxa" w:w="3744"/>
            <w:shd w:val="clear" w:color="auto" w:fill="F4F6FA"/>
          </w:tcPr>
          <w:p>
            <w:pPr>
              <w:spacing w:after="0" w:before="0"/>
            </w:pPr>
            <w:r/>
            <w:r>
              <w:rPr>
                <w:rFonts w:ascii="Calibri" w:hAnsi="Calibri"/>
                <w:b w:val="0"/>
                <w:i w:val="0"/>
                <w:sz w:val="16"/>
              </w:rPr>
              <w:t>8 index queries</w:t>
            </w:r>
          </w:p>
        </w:tc>
      </w:tr>
      <w:tr>
        <w:tc>
          <w:tcPr>
            <w:tcW w:type="dxa" w:w="3456"/>
          </w:tcPr>
          <w:p>
            <w:pPr>
              <w:spacing w:after="0" w:before="0"/>
            </w:pPr>
            <w:r/>
            <w:r>
              <w:rPr>
                <w:rFonts w:ascii="Calibri" w:hAnsi="Calibri"/>
                <w:b w:val="0"/>
                <w:i w:val="0"/>
                <w:sz w:val="16"/>
              </w:rPr>
              <w:t>Dated drug labels (Drugs@FDA)</w:t>
            </w:r>
          </w:p>
        </w:tc>
        <w:tc>
          <w:tcPr>
            <w:tcW w:type="dxa" w:w="1296"/>
          </w:tcPr>
          <w:p>
            <w:pPr>
              <w:spacing w:after="0" w:before="0"/>
            </w:pPr>
            <w:r/>
            <w:r>
              <w:rPr>
                <w:rFonts w:ascii="Calibri" w:hAnsi="Calibri"/>
                <w:b w:val="0"/>
                <w:i w:val="0"/>
                <w:sz w:val="16"/>
              </w:rPr>
              <w:t>1</w:t>
            </w:r>
          </w:p>
        </w:tc>
        <w:tc>
          <w:tcPr>
            <w:tcW w:type="dxa" w:w="1440"/>
          </w:tcPr>
          <w:p>
            <w:pPr>
              <w:spacing w:after="0" w:before="0"/>
            </w:pPr>
            <w:r/>
            <w:r>
              <w:rPr>
                <w:rFonts w:ascii="Calibri" w:hAnsi="Calibri"/>
                <w:b w:val="0"/>
                <w:i w:val="0"/>
                <w:sz w:val="16"/>
              </w:rPr>
              <w:t>1</w:t>
            </w:r>
          </w:p>
        </w:tc>
        <w:tc>
          <w:tcPr>
            <w:tcW w:type="dxa" w:w="3744"/>
          </w:tcPr>
          <w:p>
            <w:pPr>
              <w:spacing w:after="0" w:before="0"/>
            </w:pPr>
            <w:r/>
            <w:r>
              <w:rPr>
                <w:rFonts w:ascii="Calibri" w:hAnsi="Calibri"/>
                <w:b w:val="0"/>
                <w:i w:val="0"/>
                <w:sz w:val="16"/>
              </w:rPr>
              <w:t>latest version before the priority date</w:t>
            </w:r>
          </w:p>
        </w:tc>
      </w:tr>
      <w:tr>
        <w:tc>
          <w:tcPr>
            <w:tcW w:type="dxa" w:w="3456"/>
            <w:shd w:val="clear" w:color="auto" w:fill="F4F6FA"/>
          </w:tcPr>
          <w:p>
            <w:pPr>
              <w:spacing w:after="0" w:before="0"/>
            </w:pPr>
            <w:r/>
            <w:r>
              <w:rPr>
                <w:rFonts w:ascii="Calibri" w:hAnsi="Calibri"/>
                <w:b w:val="0"/>
                <w:i w:val="0"/>
                <w:sz w:val="16"/>
              </w:rPr>
              <w:t>Co-drug art (rifampicin)</w:t>
            </w:r>
          </w:p>
        </w:tc>
        <w:tc>
          <w:tcPr>
            <w:tcW w:type="dxa" w:w="1296"/>
            <w:shd w:val="clear" w:color="auto" w:fill="F4F6FA"/>
          </w:tcPr>
          <w:p>
            <w:pPr>
              <w:spacing w:after="0" w:before="0"/>
            </w:pPr>
            <w:r/>
            <w:r>
              <w:rPr>
                <w:rFonts w:ascii="Calibri" w:hAnsi="Calibri"/>
                <w:b w:val="0"/>
                <w:i w:val="0"/>
                <w:sz w:val="16"/>
              </w:rPr>
              <w:t>64</w:t>
            </w:r>
          </w:p>
        </w:tc>
        <w:tc>
          <w:tcPr>
            <w:tcW w:type="dxa" w:w="1440"/>
            <w:shd w:val="clear" w:color="auto" w:fill="F4F6FA"/>
          </w:tcPr>
          <w:p>
            <w:pPr>
              <w:spacing w:after="0" w:before="0"/>
            </w:pPr>
            <w:r/>
            <w:r>
              <w:rPr>
                <w:rFonts w:ascii="Calibri" w:hAnsi="Calibri"/>
                <w:b w:val="0"/>
                <w:i w:val="0"/>
                <w:sz w:val="16"/>
              </w:rPr>
              <w:t>8</w:t>
            </w:r>
          </w:p>
        </w:tc>
        <w:tc>
          <w:tcPr>
            <w:tcW w:type="dxa" w:w="3744"/>
            <w:shd w:val="clear" w:color="auto" w:fill="F4F6FA"/>
          </w:tcPr>
          <w:p>
            <w:pPr>
              <w:spacing w:after="0" w:before="0"/>
            </w:pPr>
            <w:r/>
            <w:r>
              <w:rPr>
                <w:rFonts w:ascii="Calibri" w:hAnsi="Calibri"/>
                <w:b w:val="0"/>
                <w:i w:val="0"/>
                <w:sz w:val="16"/>
              </w:rPr>
              <w:t>8 index queries</w:t>
            </w:r>
          </w:p>
        </w:tc>
      </w:tr>
      <w:tr>
        <w:tc>
          <w:tcPr>
            <w:tcW w:type="dxa" w:w="3456"/>
          </w:tcPr>
          <w:p>
            <w:pPr>
              <w:spacing w:after="0" w:before="0"/>
            </w:pPr>
            <w:r/>
            <w:r>
              <w:rPr>
                <w:rFonts w:ascii="Calibri" w:hAnsi="Calibri"/>
                <w:b w:val="0"/>
                <w:i w:val="0"/>
                <w:sz w:val="16"/>
              </w:rPr>
              <w:t>Sister-drug teaching (AN1)</w:t>
            </w:r>
          </w:p>
        </w:tc>
        <w:tc>
          <w:tcPr>
            <w:tcW w:type="dxa" w:w="1296"/>
          </w:tcPr>
          <w:p>
            <w:pPr>
              <w:spacing w:after="0" w:before="0"/>
            </w:pPr>
            <w:r/>
            <w:r>
              <w:rPr>
                <w:rFonts w:ascii="Calibri" w:hAnsi="Calibri"/>
                <w:b w:val="0"/>
                <w:i w:val="0"/>
                <w:sz w:val="16"/>
              </w:rPr>
              <w:t>3 sister drug(s)</w:t>
            </w:r>
          </w:p>
        </w:tc>
        <w:tc>
          <w:tcPr>
            <w:tcW w:type="dxa" w:w="1440"/>
          </w:tcPr>
          <w:p>
            <w:pPr>
              <w:spacing w:after="0" w:before="0"/>
            </w:pPr>
            <w:r/>
            <w:r>
              <w:rPr>
                <w:rFonts w:ascii="Calibri" w:hAnsi="Calibri"/>
                <w:b w:val="0"/>
                <w:i w:val="0"/>
                <w:sz w:val="16"/>
              </w:rPr>
              <w:t>8</w:t>
            </w:r>
          </w:p>
        </w:tc>
        <w:tc>
          <w:tcPr>
            <w:tcW w:type="dxa" w:w="3744"/>
          </w:tcPr>
          <w:p>
            <w:pPr>
              <w:spacing w:after="0" w:before="0"/>
            </w:pPr>
            <w:r/>
            <w:r>
              <w:rPr>
                <w:rFonts w:ascii="Calibri" w:hAnsi="Calibri"/>
                <w:b w:val="0"/>
                <w:i w:val="0"/>
                <w:sz w:val="16"/>
              </w:rPr>
              <w:t>7 analogous teaching(s) found</w:t>
            </w:r>
          </w:p>
        </w:tc>
      </w:tr>
      <w:tr>
        <w:tc>
          <w:tcPr>
            <w:tcW w:type="dxa" w:w="3456"/>
            <w:shd w:val="clear" w:color="auto" w:fill="F4F6FA"/>
          </w:tcPr>
          <w:p>
            <w:pPr>
              <w:spacing w:after="0" w:before="0"/>
            </w:pPr>
            <w:r/>
            <w:r>
              <w:rPr>
                <w:rFonts w:ascii="Calibri" w:hAnsi="Calibri"/>
                <w:b w:val="0"/>
                <w:i w:val="0"/>
                <w:sz w:val="16"/>
              </w:rPr>
              <w:t>Patents by claim piece, clause and co-drug (all classes)</w:t>
            </w:r>
          </w:p>
        </w:tc>
        <w:tc>
          <w:tcPr>
            <w:tcW w:type="dxa" w:w="1296"/>
            <w:shd w:val="clear" w:color="auto" w:fill="F4F6FA"/>
          </w:tcPr>
          <w:p>
            <w:pPr>
              <w:spacing w:after="0" w:before="0"/>
            </w:pPr>
            <w:r/>
            <w:r>
              <w:rPr>
                <w:rFonts w:ascii="Calibri" w:hAnsi="Calibri"/>
                <w:b w:val="0"/>
                <w:i w:val="0"/>
                <w:sz w:val="16"/>
              </w:rPr>
              <w:t>1114</w:t>
            </w:r>
          </w:p>
        </w:tc>
        <w:tc>
          <w:tcPr>
            <w:tcW w:type="dxa" w:w="1440"/>
            <w:shd w:val="clear" w:color="auto" w:fill="F4F6FA"/>
          </w:tcPr>
          <w:p>
            <w:pPr>
              <w:spacing w:after="0" w:before="0"/>
            </w:pPr>
            <w:r/>
            <w:r>
              <w:rPr>
                <w:rFonts w:ascii="Calibri" w:hAnsi="Calibri"/>
                <w:b w:val="0"/>
                <w:i w:val="0"/>
                <w:sz w:val="16"/>
              </w:rPr>
              <w:t>60</w:t>
            </w:r>
          </w:p>
        </w:tc>
        <w:tc>
          <w:tcPr>
            <w:tcW w:type="dxa" w:w="3744"/>
            <w:shd w:val="clear" w:color="auto" w:fill="F4F6FA"/>
          </w:tcPr>
          <w:p>
            <w:pPr>
              <w:spacing w:after="0" w:before="0"/>
            </w:pPr>
            <w:r/>
            <w:r>
              <w:rPr>
                <w:rFonts w:ascii="Calibri" w:hAnsi="Calibri"/>
                <w:b w:val="0"/>
                <w:i w:val="0"/>
                <w:sz w:val="16"/>
              </w:rPr>
              <w:t>14 Lens lanes; 12 family member(s) added</w:t>
            </w:r>
          </w:p>
        </w:tc>
      </w:tr>
      <w:tr>
        <w:tc>
          <w:tcPr>
            <w:tcW w:type="dxa" w:w="3456"/>
          </w:tcPr>
          <w:p>
            <w:pPr>
              <w:spacing w:after="0" w:before="0"/>
            </w:pPr>
            <w:r/>
            <w:r>
              <w:rPr>
                <w:rFonts w:ascii="Calibri" w:hAnsi="Calibri"/>
                <w:b w:val="0"/>
                <w:i w:val="0"/>
                <w:sz w:val="16"/>
              </w:rPr>
              <w:t>Similar-drug literature (agomelatine, ramelteon, piromelatine)</w:t>
            </w:r>
          </w:p>
        </w:tc>
        <w:tc>
          <w:tcPr>
            <w:tcW w:type="dxa" w:w="1296"/>
          </w:tcPr>
          <w:p>
            <w:pPr>
              <w:spacing w:after="0" w:before="0"/>
            </w:pPr>
            <w:r/>
            <w:r>
              <w:rPr>
                <w:rFonts w:ascii="Calibri" w:hAnsi="Calibri"/>
                <w:b w:val="0"/>
                <w:i w:val="0"/>
                <w:sz w:val="16"/>
              </w:rPr>
              <w:t>250</w:t>
            </w:r>
          </w:p>
        </w:tc>
        <w:tc>
          <w:tcPr>
            <w:tcW w:type="dxa" w:w="1440"/>
          </w:tcPr>
          <w:p>
            <w:pPr>
              <w:spacing w:after="0" w:before="0"/>
            </w:pPr>
            <w:r/>
            <w:r>
              <w:rPr>
                <w:rFonts w:ascii="Calibri" w:hAnsi="Calibri"/>
                <w:b w:val="0"/>
                <w:i w:val="0"/>
                <w:sz w:val="16"/>
              </w:rPr>
              <w:t>0</w:t>
            </w:r>
          </w:p>
        </w:tc>
        <w:tc>
          <w:tcPr>
            <w:tcW w:type="dxa" w:w="3744"/>
          </w:tcPr>
          <w:p>
            <w:pPr>
              <w:spacing w:after="0" w:before="0"/>
            </w:pPr>
            <w:r/>
            <w:r>
              <w:rPr>
                <w:rFonts w:ascii="Calibri" w:hAnsi="Calibri"/>
                <w:b w:val="0"/>
                <w:i w:val="0"/>
                <w:sz w:val="16"/>
              </w:rPr>
              <w:t>same query, sister drug's names</w:t>
            </w:r>
          </w:p>
        </w:tc>
      </w:tr>
      <w:tr>
        <w:tc>
          <w:tcPr>
            <w:tcW w:type="dxa" w:w="3456"/>
            <w:shd w:val="clear" w:color="auto" w:fill="F4F6FA"/>
          </w:tcPr>
          <w:p>
            <w:pPr>
              <w:spacing w:after="0" w:before="0"/>
            </w:pPr>
            <w:r/>
            <w:r>
              <w:rPr>
                <w:rFonts w:ascii="Calibri" w:hAnsi="Calibri"/>
                <w:b w:val="0"/>
                <w:i w:val="0"/>
                <w:sz w:val="16"/>
              </w:rPr>
              <w:t>Citations of the papers that reach an open piece</w:t>
            </w:r>
          </w:p>
        </w:tc>
        <w:tc>
          <w:tcPr>
            <w:tcW w:type="dxa" w:w="1296"/>
            <w:shd w:val="clear" w:color="auto" w:fill="F4F6FA"/>
          </w:tcPr>
          <w:p>
            <w:pPr>
              <w:spacing w:after="0" w:before="0"/>
            </w:pPr>
            <w:r/>
            <w:r>
              <w:rPr>
                <w:rFonts w:ascii="Calibri" w:hAnsi="Calibri"/>
                <w:b w:val="0"/>
                <w:i w:val="0"/>
                <w:sz w:val="16"/>
              </w:rPr>
              <w:t>147</w:t>
            </w:r>
          </w:p>
        </w:tc>
        <w:tc>
          <w:tcPr>
            <w:tcW w:type="dxa" w:w="1440"/>
            <w:shd w:val="clear" w:color="auto" w:fill="F4F6FA"/>
          </w:tcPr>
          <w:p>
            <w:pPr>
              <w:spacing w:after="0" w:before="0"/>
            </w:pPr>
            <w:r/>
            <w:r>
              <w:rPr>
                <w:rFonts w:ascii="Calibri" w:hAnsi="Calibri"/>
                <w:b w:val="0"/>
                <w:i w:val="0"/>
                <w:sz w:val="16"/>
              </w:rPr>
              <w:t>0</w:t>
            </w:r>
          </w:p>
        </w:tc>
        <w:tc>
          <w:tcPr>
            <w:tcW w:type="dxa" w:w="3744"/>
            <w:shd w:val="clear" w:color="auto" w:fill="F4F6FA"/>
          </w:tcPr>
          <w:p>
            <w:pPr>
              <w:spacing w:after="0" w:before="0"/>
            </w:pPr>
            <w:r/>
            <w:r>
              <w:rPr>
                <w:rFonts w:ascii="Calibri" w:hAnsi="Calibri"/>
                <w:b w:val="0"/>
                <w:i w:val="0"/>
                <w:sz w:val="16"/>
              </w:rPr>
              <w:t>4 seed paper(s); 33 on-topic by title</w:t>
            </w:r>
          </w:p>
        </w:tc>
      </w:tr>
      <w:tr>
        <w:tc>
          <w:tcPr>
            <w:tcW w:type="dxa" w:w="3456"/>
          </w:tcPr>
          <w:p>
            <w:pPr>
              <w:spacing w:after="0" w:before="0"/>
            </w:pPr>
            <w:r/>
            <w:r>
              <w:rPr>
                <w:rFonts w:ascii="Calibri" w:hAnsi="Calibri"/>
                <w:b w:val="0"/>
                <w:i w:val="0"/>
                <w:sz w:val="16"/>
              </w:rPr>
              <w:t>Counter-evidence (phrases + the claim's stated mechanism)</w:t>
            </w:r>
          </w:p>
        </w:tc>
        <w:tc>
          <w:tcPr>
            <w:tcW w:type="dxa" w:w="1296"/>
          </w:tcPr>
          <w:p>
            <w:pPr>
              <w:spacing w:after="0" w:before="0"/>
            </w:pPr>
            <w:r/>
            <w:r>
              <w:rPr>
                <w:rFonts w:ascii="Calibri" w:hAnsi="Calibri"/>
                <w:b w:val="0"/>
                <w:i w:val="0"/>
                <w:sz w:val="16"/>
              </w:rPr>
              <w:t>44</w:t>
            </w:r>
          </w:p>
        </w:tc>
        <w:tc>
          <w:tcPr>
            <w:tcW w:type="dxa" w:w="1440"/>
          </w:tcPr>
          <w:p>
            <w:pPr>
              <w:spacing w:after="0" w:before="0"/>
            </w:pPr>
            <w:r/>
            <w:r>
              <w:rPr>
                <w:rFonts w:ascii="Calibri" w:hAnsi="Calibri"/>
                <w:b w:val="0"/>
                <w:i w:val="0"/>
                <w:sz w:val="16"/>
              </w:rPr>
              <w:t>32</w:t>
            </w:r>
          </w:p>
        </w:tc>
        <w:tc>
          <w:tcPr>
            <w:tcW w:type="dxa" w:w="3744"/>
          </w:tcPr>
          <w:p>
            <w:pPr>
              <w:spacing w:after="0" w:before="0"/>
            </w:pPr>
            <w:r/>
            <w:r>
              <w:rPr>
                <w:rFonts w:ascii="Calibri" w:hAnsi="Calibri"/>
                <w:b w:val="0"/>
                <w:i w:val="0"/>
                <w:sz w:val="16"/>
              </w:rPr>
              <w:t>2 contrary finding(s); 1 mechanism clause(s) tested</w:t>
            </w:r>
          </w:p>
        </w:tc>
      </w:tr>
    </w:tbl>
    <w:p>
      <w:pPr>
        <w:spacing w:after="40" w:before="0"/>
      </w:pPr>
    </w:p>
    <w:p>
      <w:pPr>
        <w:keepNext/>
        <w:spacing w:before="240" w:after="60"/>
        <w:pBdr>
          <w:bottom w:val="single" w:sz="4" w:color="C9A227"/>
        </w:pBdr>
      </w:pPr>
      <w:r>
        <w:rPr>
          <w:rFonts w:ascii="Calibri Light" w:hAnsi="Calibri Light"/>
          <w:b/>
          <w:i w:val="0"/>
          <w:color w:val="C9A227"/>
          <w:sz w:val="30"/>
        </w:rPr>
        <w:t xml:space="preserve">05  </w:t>
      </w:r>
      <w:r>
        <w:rPr>
          <w:rFonts w:ascii="Calibri Light" w:hAnsi="Calibri Light"/>
          <w:b w:val="0"/>
          <w:i w:val="0"/>
          <w:color w:val="142B4A"/>
          <w:sz w:val="30"/>
        </w:rPr>
        <w:t>Motivation to combine</w:t>
      </w:r>
    </w:p>
    <w:p>
      <w:pPr>
        <w:spacing w:after="80" w:before="0"/>
      </w:pPr>
      <w:r>
        <w:rPr>
          <w:rFonts w:ascii="Calibri" w:hAnsi="Calibri"/>
          <w:b w:val="0"/>
          <w:i w:val="0"/>
          <w:sz w:val="18"/>
        </w:rPr>
        <w:t>Engine output, not a legal opinion. When produced, the record carries typed support reasons (shared field of use, problem–solution fit, expectation of success), typed objections (teaching away, contrary evidence, incompatibility), a one-line problem addressed, and a computed verdict; every reason is anchored to a verified quote from the named member, and a reason whose quote cannot be verified is dropped rather than shown. Supporting and weakening evidence are presented separately and never weighed.</w:t>
      </w:r>
    </w:p>
    <w:p>
      <w:pPr>
        <w:keepNext/>
        <w:spacing w:before="120" w:after="40"/>
      </w:pPr>
      <w:r>
        <w:rPr>
          <w:rFonts w:ascii="Calibri Light" w:hAnsi="Calibri Light"/>
          <w:b/>
          <w:i w:val="0"/>
          <w:color w:val="142B4A"/>
          <w:sz w:val="23"/>
        </w:rPr>
        <w:t>Best combination — Safety Study of Tasimelteon for Treatment of Non-24-Hour-Sleep-Wake Disorder in Blind Indi... + EP2308491B1 (Bradford et al.) + US20040044064A1 (Lewy et al.) + US20100056622A1 (Lauterbach)</w:t>
      </w:r>
    </w:p>
    <w:p>
      <w:pPr>
        <w:spacing w:after="40" w:before="0"/>
      </w:pPr>
      <w:r>
        <w:rPr>
          <w:rFonts w:ascii="Calibri" w:hAnsi="Calibri"/>
          <w:b/>
          <w:i w:val="0"/>
          <w:color w:val="142B4A"/>
          <w:sz w:val="19"/>
        </w:rPr>
        <w:t xml:space="preserve">Primary / secondary: </w:t>
      </w:r>
      <w:r>
        <w:rPr>
          <w:rFonts w:ascii="Calibri" w:hAnsi="Calibri"/>
          <w:b w:val="0"/>
          <w:i w:val="0"/>
          <w:sz w:val="19"/>
        </w:rPr>
        <w:t>NCT:NCT01218789 (ClinicalTrials.gov 2010) is the primary reference (it reaches the most pieces); EP2308491B1 (Bradford et al.), US20040044064A1 (Lewy et al.), US20100056622A1 (Lauterbach) supply the rest.</w:t>
      </w:r>
    </w:p>
    <w:p>
      <w:pPr>
        <w:spacing w:after="40" w:before="0"/>
      </w:pPr>
      <w:r>
        <w:rPr>
          <w:rFonts w:ascii="Calibri" w:hAnsi="Calibri"/>
          <w:b/>
          <w:i w:val="0"/>
          <w:color w:val="142B4A"/>
          <w:sz w:val="20"/>
        </w:rPr>
        <w:t xml:space="preserve">Verdict: </w:t>
      </w:r>
      <w:r>
        <w:rPr>
          <w:rFonts w:ascii="Calibri" w:hAnsi="Calibri"/>
          <w:b/>
          <w:i w:val="0"/>
          <w:color w:val="2E7D32"/>
          <w:sz w:val="20"/>
        </w:rPr>
        <w:t>Support with a documented objection</w:t>
      </w:r>
      <w:r>
        <w:rPr>
          <w:rFonts w:ascii="Calibri" w:hAnsi="Calibri"/>
          <w:b w:val="0"/>
          <w:i w:val="0"/>
          <w:color w:val="595959"/>
          <w:sz w:val="17"/>
        </w:rPr>
        <w:t xml:space="preserve">   · reasons verified against mixed text basis</w:t>
      </w:r>
    </w:p>
    <w:p>
      <w:pPr>
        <w:spacing w:after="40" w:before="0"/>
      </w:pPr>
      <w:r>
        <w:rPr>
          <w:rFonts w:ascii="Calibri" w:hAnsi="Calibri"/>
          <w:b/>
          <w:i w:val="0"/>
          <w:color w:val="142B4A"/>
          <w:sz w:val="19"/>
        </w:rPr>
        <w:t xml:space="preserve">Problem addressed: </w:t>
      </w:r>
      <w:r>
        <w:rPr>
          <w:rFonts w:ascii="Calibri" w:hAnsi="Calibri"/>
          <w:b w:val="0"/>
          <w:i w:val="0"/>
          <w:sz w:val="19"/>
        </w:rPr>
        <w:t>How to dose a patient with tasimelteon for Non-24-Hour Sleep-Wake Disorder when the patient is concurrently on rifampicin, a strong CYP enzyme inducer that reduces drug exposure through accelerated metabolism</w:t>
      </w:r>
    </w:p>
    <w:p>
      <w:pPr>
        <w:spacing w:after="20" w:before="0"/>
      </w:pPr>
      <w:r>
        <w:rPr>
          <w:rFonts w:ascii="Calibri" w:hAnsi="Calibri"/>
          <w:b/>
          <w:i w:val="0"/>
          <w:color w:val="2E7D32"/>
          <w:sz w:val="19"/>
        </w:rPr>
        <w:t>Reason to combine and expectation of success</w:t>
      </w:r>
    </w:p>
    <w:p>
      <w:pPr>
        <w:pStyle w:val="ListBullet"/>
        <w:spacing w:after="40" w:before="0"/>
      </w:pPr>
      <w:r>
        <w:rPr>
          <w:rFonts w:ascii="Calibri" w:hAnsi="Calibri"/>
          <w:b/>
          <w:i w:val="0"/>
          <w:color w:val="142B4A"/>
          <w:sz w:val="19"/>
        </w:rPr>
        <w:t xml:space="preserve">Problem–solution fit. </w:t>
      </w:r>
      <w:r>
        <w:rPr>
          <w:rFonts w:ascii="Calibri" w:hAnsi="Calibri"/>
          <w:b w:val="0"/>
          <w:i w:val="0"/>
          <w:sz w:val="19"/>
        </w:rPr>
        <w:t>Secondary reference teaches the general solution of discontinuing rifampicin co-administration to avoid reduced drug exposure caused by CYP induction, directly applicable to any CYP-metabolized drug like tasimelteon</w:t>
      </w:r>
      <w:r>
        <w:rPr>
          <w:rFonts w:ascii="Calibri" w:hAnsi="Calibri"/>
          <w:b w:val="0"/>
          <w:i/>
          <w:sz w:val="18"/>
        </w:rPr>
        <w:t xml:space="preserve">  “the treating comprises avoiding or discontinuing concomitant use or co-administration of a strong inducer of cytochrome P450 1A2 (CYP1A2) to avoid reduced exposure to pirfenidone, wherein the strong inducer is cigarette smoke, smoking or rifampicin”</w:t>
      </w:r>
      <w:r>
        <w:rPr>
          <w:rFonts w:ascii="Calibri" w:hAnsi="Calibri"/>
          <w:b w:val="0"/>
          <w:i w:val="0"/>
          <w:color w:val="595959"/>
          <w:sz w:val="17"/>
        </w:rPr>
        <w:t xml:space="preserve"> — EP2308491B1 (Bradford et al.) (full text)</w:t>
      </w:r>
    </w:p>
    <w:p>
      <w:pPr>
        <w:pStyle w:val="ListBullet"/>
        <w:spacing w:after="40" w:before="0"/>
      </w:pPr>
      <w:r>
        <w:rPr>
          <w:rFonts w:ascii="Calibri" w:hAnsi="Calibri"/>
          <w:b/>
          <w:i w:val="0"/>
          <w:color w:val="142B4A"/>
          <w:sz w:val="19"/>
        </w:rPr>
        <w:t xml:space="preserve">Shared field of use. </w:t>
      </w:r>
      <w:r>
        <w:rPr>
          <w:rFonts w:ascii="Calibri" w:hAnsi="Calibri"/>
          <w:b w:val="0"/>
          <w:i w:val="0"/>
          <w:sz w:val="19"/>
        </w:rPr>
        <w:t>Primary reference establishes the exact 20 mg once-daily tasimelteon dosing regimen before target bedtime for treating Non-24-Hour Sleep-Wake Disorder in the relevant patient population</w:t>
      </w:r>
      <w:r>
        <w:rPr>
          <w:rFonts w:ascii="Calibri" w:hAnsi="Calibri"/>
          <w:b w:val="0"/>
          <w:i/>
          <w:sz w:val="18"/>
        </w:rPr>
        <w:t xml:space="preserve">  “patients will be asked to take 20 mg tasimelteon daily approximately 60 minutes prior to their target bedtime for 52 weeks in an open-label fashion”</w:t>
      </w:r>
      <w:r>
        <w:rPr>
          <w:rFonts w:ascii="Calibri" w:hAnsi="Calibri"/>
          <w:b w:val="0"/>
          <w:i w:val="0"/>
          <w:color w:val="595959"/>
          <w:sz w:val="17"/>
        </w:rPr>
        <w:t xml:space="preserve"> — NCT:NCT01218789 (ClinicalTrials.gov 2010) (abstract (screening grade))</w:t>
      </w:r>
    </w:p>
    <w:p>
      <w:pPr>
        <w:pStyle w:val="ListBullet"/>
        <w:spacing w:after="40" w:before="0"/>
      </w:pPr>
      <w:r>
        <w:rPr>
          <w:rFonts w:ascii="Calibri" w:hAnsi="Calibri"/>
          <w:b/>
          <w:i w:val="0"/>
          <w:color w:val="142B4A"/>
          <w:sz w:val="19"/>
        </w:rPr>
        <w:t xml:space="preserve">Expectation of success. </w:t>
      </w:r>
      <w:r>
        <w:rPr>
          <w:rFonts w:ascii="Calibri" w:hAnsi="Calibri"/>
          <w:b w:val="0"/>
          <w:i w:val="0"/>
          <w:sz w:val="19"/>
        </w:rPr>
        <w:t>The secondary reference provides a generalized, drug-agnostic rationale (CYP induction causing reduced systemic exposure) that a skilled person could reasonably expect to extend to other CYP-substrate drugs including tasimelteon</w:t>
      </w:r>
      <w:r>
        <w:rPr>
          <w:rFonts w:ascii="Calibri" w:hAnsi="Calibri"/>
          <w:b w:val="0"/>
          <w:i/>
          <w:sz w:val="18"/>
        </w:rPr>
        <w:t xml:space="preserve">  “Induction of CYP1A2 activity has been reported as a consequence of cigarette smoking, dietary factors, several drugs, chronic hepatitis”</w:t>
      </w:r>
      <w:r>
        <w:rPr>
          <w:rFonts w:ascii="Calibri" w:hAnsi="Calibri"/>
          <w:b w:val="0"/>
          <w:i w:val="0"/>
          <w:color w:val="595959"/>
          <w:sz w:val="17"/>
        </w:rPr>
        <w:t xml:space="preserve"> — EP2308491B1 (Bradford et al.) (full text)</w:t>
      </w:r>
    </w:p>
    <w:p>
      <w:pPr>
        <w:spacing w:after="20" w:before="0"/>
      </w:pPr>
      <w:r>
        <w:rPr>
          <w:rFonts w:ascii="Calibri" w:hAnsi="Calibri"/>
          <w:b/>
          <w:i w:val="0"/>
          <w:color w:val="9A2D2D"/>
          <w:sz w:val="19"/>
        </w:rPr>
        <w:t>Weakening evidence</w:t>
      </w:r>
    </w:p>
    <w:p>
      <w:pPr>
        <w:pStyle w:val="ListBullet"/>
        <w:spacing w:after="40" w:before="0"/>
      </w:pPr>
      <w:r>
        <w:rPr>
          <w:rFonts w:ascii="Calibri" w:hAnsi="Calibri"/>
          <w:b/>
          <w:i w:val="0"/>
          <w:color w:val="142B4A"/>
          <w:sz w:val="19"/>
        </w:rPr>
        <w:t xml:space="preserve">Incompatibility. </w:t>
      </w:r>
      <w:r>
        <w:rPr>
          <w:rFonts w:ascii="Calibri" w:hAnsi="Calibri"/>
          <w:b w:val="0"/>
          <w:i w:val="0"/>
          <w:sz w:val="19"/>
        </w:rPr>
        <w:t>The secondary reference's teaching is specific to CYP1A2 induction affecting pirfenidone, whereas tasimelteon exposure reduction by rifampicin is mediated via CYP3A4 induction, a different enzyme pathway</w:t>
      </w:r>
      <w:r>
        <w:rPr>
          <w:rFonts w:ascii="Calibri" w:hAnsi="Calibri"/>
          <w:b w:val="0"/>
          <w:i/>
          <w:sz w:val="18"/>
        </w:rPr>
        <w:t xml:space="preserve">  “avoiding or discontinuing concomitant use or co-administration of a strong inducer of cytochrome P450 1A2 (CYP1A2) to avoid reduced exposure to pirfenidone”</w:t>
      </w:r>
      <w:r>
        <w:rPr>
          <w:rFonts w:ascii="Calibri" w:hAnsi="Calibri"/>
          <w:b w:val="0"/>
          <w:i w:val="0"/>
          <w:color w:val="595959"/>
          <w:sz w:val="17"/>
        </w:rPr>
        <w:t xml:space="preserve"> — EP2308491B1 (Bradford et al.) (full text)</w:t>
      </w:r>
    </w:p>
    <w:p>
      <w:pPr>
        <w:keepNext/>
        <w:spacing w:before="120" w:after="40"/>
      </w:pPr>
      <w:r>
        <w:rPr>
          <w:rFonts w:ascii="Calibri Light" w:hAnsi="Calibri Light"/>
          <w:b/>
          <w:i w:val="0"/>
          <w:color w:val="142B4A"/>
          <w:sz w:val="23"/>
        </w:rPr>
        <w:t>Plausibility check (engine-generated, unweighed)</w:t>
      </w:r>
    </w:p>
    <w:tbl>
      <w:tblPr>
        <w:tblStyle w:val="TableGrid"/>
        <w:tblW w:type="auto" w:w="0"/>
        <w:tblLook w:firstColumn="1" w:firstRow="1" w:lastColumn="0" w:lastRow="0" w:noHBand="0" w:noVBand="1" w:val="04A0"/>
      </w:tblPr>
      <w:tblGrid>
        <w:gridCol w:w="4824"/>
        <w:gridCol w:w="4824"/>
      </w:tblGrid>
      <w:tr>
        <w:tc>
          <w:tcPr>
            <w:tcW w:type="dxa" w:w="2592"/>
            <w:shd w:val="clear" w:color="auto" w:fill="142B4A"/>
          </w:tcPr>
          <w:p>
            <w:pPr>
              <w:spacing w:after="0" w:before="0"/>
            </w:pPr>
            <w:r/>
            <w:r>
              <w:rPr>
                <w:rFonts w:ascii="Calibri" w:hAnsi="Calibri"/>
                <w:b/>
                <w:i w:val="0"/>
                <w:color w:val="C9A227"/>
                <w:sz w:val="15"/>
              </w:rPr>
              <w:t>FACTOR</w:t>
            </w:r>
          </w:p>
        </w:tc>
        <w:tc>
          <w:tcPr>
            <w:tcW w:type="dxa" w:w="7200"/>
            <w:shd w:val="clear" w:color="auto" w:fill="142B4A"/>
          </w:tcPr>
          <w:p>
            <w:pPr>
              <w:spacing w:after="0" w:before="0"/>
            </w:pPr>
            <w:r/>
            <w:r>
              <w:rPr>
                <w:rFonts w:ascii="Calibri" w:hAnsi="Calibri"/>
                <w:b/>
                <w:i w:val="0"/>
                <w:color w:val="C9A227"/>
                <w:sz w:val="15"/>
              </w:rPr>
              <w:t>ASSESSMENT</w:t>
            </w:r>
          </w:p>
        </w:tc>
      </w:tr>
      <w:tr>
        <w:tc>
          <w:tcPr>
            <w:tcW w:type="dxa" w:w="2592"/>
          </w:tcPr>
          <w:p>
            <w:pPr>
              <w:spacing w:after="0" w:before="0"/>
            </w:pPr>
            <w:r/>
            <w:r>
              <w:rPr>
                <w:rFonts w:ascii="Calibri" w:hAnsi="Calibri"/>
                <w:b w:val="0"/>
                <w:i w:val="0"/>
                <w:sz w:val="17"/>
              </w:rPr>
              <w:t>Technical-field relationship</w:t>
            </w:r>
          </w:p>
        </w:tc>
        <w:tc>
          <w:tcPr>
            <w:tcW w:type="dxa" w:w="7200"/>
          </w:tcPr>
          <w:p>
            <w:pPr>
              <w:spacing w:after="0" w:before="0"/>
            </w:pPr>
            <w:r/>
            <w:r>
              <w:rPr>
                <w:rFonts w:ascii="Calibri" w:hAnsi="Calibri"/>
                <w:b w:val="0"/>
                <w:i w:val="0"/>
                <w:sz w:val="17"/>
              </w:rPr>
              <w:t>The primary reference concerns circadian rhythm sleep disorder treatment with tasimelteon, while the secondary reference concerns anti-fibrotic pirfenidone therapy, so the fields are only loosely related through general pharmacology of CYP-mediated drug interactions.</w:t>
            </w:r>
          </w:p>
        </w:tc>
      </w:tr>
      <w:tr>
        <w:tc>
          <w:tcPr>
            <w:tcW w:type="dxa" w:w="2592"/>
            <w:shd w:val="clear" w:color="auto" w:fill="F4F6FA"/>
          </w:tcPr>
          <w:p>
            <w:pPr>
              <w:spacing w:after="0" w:before="0"/>
            </w:pPr>
            <w:r/>
            <w:r>
              <w:rPr>
                <w:rFonts w:ascii="Calibri" w:hAnsi="Calibri"/>
                <w:b w:val="0"/>
                <w:i w:val="0"/>
                <w:sz w:val="17"/>
              </w:rPr>
              <w:t>Problem relationship</w:t>
            </w:r>
          </w:p>
        </w:tc>
        <w:tc>
          <w:tcPr>
            <w:tcW w:type="dxa" w:w="7200"/>
            <w:shd w:val="clear" w:color="auto" w:fill="F4F6FA"/>
          </w:tcPr>
          <w:p>
            <w:pPr>
              <w:spacing w:after="0" w:before="0"/>
            </w:pPr>
            <w:r/>
            <w:r>
              <w:rPr>
                <w:rFonts w:ascii="Calibri" w:hAnsi="Calibri"/>
                <w:b w:val="0"/>
                <w:i w:val="0"/>
                <w:sz w:val="17"/>
              </w:rPr>
              <w:t>Both references address the related problem of reduced drug exposure caused by induction of cytochrome P450 enzymes by concomitant agents such as rifampicin, though for different drugs and different CYP isoforms.</w:t>
            </w:r>
          </w:p>
        </w:tc>
      </w:tr>
      <w:tr>
        <w:tc>
          <w:tcPr>
            <w:tcW w:type="dxa" w:w="2592"/>
          </w:tcPr>
          <w:p>
            <w:pPr>
              <w:spacing w:after="0" w:before="0"/>
            </w:pPr>
            <w:r/>
            <w:r>
              <w:rPr>
                <w:rFonts w:ascii="Calibri" w:hAnsi="Calibri"/>
                <w:b w:val="0"/>
                <w:i w:val="0"/>
                <w:sz w:val="17"/>
              </w:rPr>
              <w:t>Component compatibility</w:t>
            </w:r>
          </w:p>
        </w:tc>
        <w:tc>
          <w:tcPr>
            <w:tcW w:type="dxa" w:w="7200"/>
          </w:tcPr>
          <w:p>
            <w:pPr>
              <w:spacing w:after="0" w:before="0"/>
            </w:pPr>
            <w:r/>
            <w:r>
              <w:rPr>
                <w:rFonts w:ascii="Calibri" w:hAnsi="Calibri"/>
                <w:b w:val="0"/>
                <w:i w:val="0"/>
                <w:sz w:val="17"/>
              </w:rPr>
              <w:t>The secondary reference's strategy of discontinuing rifampicin co-administration is a general clinical management step that could in principle be applied regardless of which CYP enzyme or drug is involved, as described in EP2308491B1 (Bradford et al.).</w:t>
            </w:r>
          </w:p>
        </w:tc>
      </w:tr>
      <w:tr>
        <w:tc>
          <w:tcPr>
            <w:tcW w:type="dxa" w:w="2592"/>
            <w:shd w:val="clear" w:color="auto" w:fill="F4F6FA"/>
          </w:tcPr>
          <w:p>
            <w:pPr>
              <w:spacing w:after="0" w:before="0"/>
            </w:pPr>
            <w:r/>
            <w:r>
              <w:rPr>
                <w:rFonts w:ascii="Calibri" w:hAnsi="Calibri"/>
                <w:b w:val="0"/>
                <w:i w:val="0"/>
                <w:sz w:val="17"/>
              </w:rPr>
              <w:t>Redesign required</w:t>
            </w:r>
          </w:p>
        </w:tc>
        <w:tc>
          <w:tcPr>
            <w:tcW w:type="dxa" w:w="7200"/>
            <w:shd w:val="clear" w:color="auto" w:fill="F4F6FA"/>
          </w:tcPr>
          <w:p>
            <w:pPr>
              <w:spacing w:after="0" w:before="0"/>
            </w:pPr>
            <w:r/>
            <w:r>
              <w:rPr>
                <w:rFonts w:ascii="Calibri" w:hAnsi="Calibri"/>
                <w:b w:val="0"/>
                <w:i w:val="0"/>
                <w:sz w:val="17"/>
              </w:rPr>
              <w:t>Applying the secondary reference's rifampicin-avoidance strategy to tasimelteon would not require redesigning the pirfenidone-specific teaching itself, though EP2308491B1 (Bradford et al.) only discusses CYP1A2 and does not address CYP3A4-mediated interactions relevant to tasimelteon.</w:t>
            </w:r>
          </w:p>
        </w:tc>
      </w:tr>
    </w:tbl>
    <w:p>
      <w:pPr>
        <w:spacing w:after="40" w:before="0"/>
      </w:pPr>
    </w:p>
    <w:p>
      <w:pPr>
        <w:keepNext/>
        <w:spacing w:before="120" w:after="40"/>
      </w:pPr>
      <w:r>
        <w:rPr>
          <w:rFonts w:ascii="Calibri Light" w:hAnsi="Calibri Light"/>
          <w:b/>
          <w:i w:val="0"/>
          <w:color w:val="142B4A"/>
          <w:sz w:val="23"/>
        </w:rPr>
        <w:t>Alternative combination 1 — Safety Study of Tasimelteon for Treatment of Non-24-Hour-Sleep-Wake Disorder in Blind Indi... + Withdrawal Study to Demonstrate the Maintenance Effect in the Treatment of Non-24-Hour Sle... + EP2308491B1 (Bradford et al.) + US20100056622A1 (Lauterbach)</w:t>
      </w:r>
    </w:p>
    <w:p>
      <w:pPr>
        <w:spacing w:after="40" w:before="0"/>
      </w:pPr>
      <w:r>
        <w:rPr>
          <w:rFonts w:ascii="Calibri" w:hAnsi="Calibri"/>
          <w:b/>
          <w:i w:val="0"/>
          <w:color w:val="142B4A"/>
          <w:sz w:val="19"/>
        </w:rPr>
        <w:t xml:space="preserve">Primary / secondary: </w:t>
      </w:r>
      <w:r>
        <w:rPr>
          <w:rFonts w:ascii="Calibri" w:hAnsi="Calibri"/>
          <w:b w:val="0"/>
          <w:i w:val="0"/>
          <w:sz w:val="19"/>
        </w:rPr>
        <w:t>NCT:NCT01218789 (ClinicalTrials.gov 2010) is the primary reference (it reaches the most pieces); NCT:NCT01430754 (ClinicalTrials.gov 2011), EP2308491B1 (Bradford et al.), US20100056622A1 (Lauterbach) supply the rest.</w:t>
      </w:r>
    </w:p>
    <w:p>
      <w:pPr>
        <w:spacing w:after="40" w:before="0"/>
      </w:pPr>
      <w:r>
        <w:rPr>
          <w:rFonts w:ascii="Calibri" w:hAnsi="Calibri"/>
          <w:b/>
          <w:i w:val="0"/>
          <w:color w:val="142B4A"/>
          <w:sz w:val="20"/>
        </w:rPr>
        <w:t xml:space="preserve">Verdict: </w:t>
      </w:r>
      <w:r>
        <w:rPr>
          <w:rFonts w:ascii="Calibri" w:hAnsi="Calibri"/>
          <w:b/>
          <w:i w:val="0"/>
          <w:color w:val="2E7D32"/>
          <w:sz w:val="20"/>
        </w:rPr>
        <w:t>Support with a documented objection</w:t>
      </w:r>
      <w:r>
        <w:rPr>
          <w:rFonts w:ascii="Calibri" w:hAnsi="Calibri"/>
          <w:b w:val="0"/>
          <w:i w:val="0"/>
          <w:color w:val="595959"/>
          <w:sz w:val="17"/>
        </w:rPr>
        <w:t xml:space="preserve">   · reasons verified against abstract (screening grade)</w:t>
      </w:r>
    </w:p>
    <w:p>
      <w:pPr>
        <w:spacing w:after="40" w:before="0"/>
      </w:pPr>
      <w:r>
        <w:rPr>
          <w:rFonts w:ascii="Calibri" w:hAnsi="Calibri"/>
          <w:b/>
          <w:i w:val="0"/>
          <w:color w:val="142B4A"/>
          <w:sz w:val="19"/>
        </w:rPr>
        <w:t xml:space="preserve">Problem addressed: </w:t>
      </w:r>
      <w:r>
        <w:rPr>
          <w:rFonts w:ascii="Calibri" w:hAnsi="Calibri"/>
          <w:b w:val="0"/>
          <w:i w:val="0"/>
          <w:sz w:val="19"/>
        </w:rPr>
        <w:t>Neither reference addresses the issue of avoiding rifampicin-induced CYP3A4 reduction of tasimelteon exposure in patients being switched from rifampicin to tasimelteon therapy for Non-24-Hour Sleep-Wake Disorder, but both establish the standard 20 mg once-daily tasimelteon dosing regimen before bedtime used in treating LPI patients with this disorder.</w:t>
      </w:r>
    </w:p>
    <w:p>
      <w:pPr>
        <w:spacing w:after="20" w:before="0"/>
      </w:pPr>
      <w:r>
        <w:rPr>
          <w:rFonts w:ascii="Calibri" w:hAnsi="Calibri"/>
          <w:b/>
          <w:i w:val="0"/>
          <w:color w:val="2E7D32"/>
          <w:sz w:val="19"/>
        </w:rPr>
        <w:t>Reason to combine and expectation of success</w:t>
      </w:r>
    </w:p>
    <w:p>
      <w:pPr>
        <w:pStyle w:val="ListBullet"/>
        <w:spacing w:after="40" w:before="0"/>
      </w:pPr>
      <w:r>
        <w:rPr>
          <w:rFonts w:ascii="Calibri" w:hAnsi="Calibri"/>
          <w:b/>
          <w:i w:val="0"/>
          <w:color w:val="142B4A"/>
          <w:sz w:val="19"/>
        </w:rPr>
        <w:t xml:space="preserve">Shared field of use. </w:t>
      </w:r>
      <w:r>
        <w:rPr>
          <w:rFonts w:ascii="Calibri" w:hAnsi="Calibri"/>
          <w:b w:val="0"/>
          <w:i w:val="0"/>
          <w:sz w:val="19"/>
        </w:rPr>
        <w:t>Both studies concern treating Non-24-Hour Sleep-Wake Disorder in blind/LPI individuals with the same tasimelteon dosing regimen.</w:t>
      </w:r>
      <w:r>
        <w:rPr>
          <w:rFonts w:ascii="Calibri" w:hAnsi="Calibri"/>
          <w:b w:val="0"/>
          <w:i/>
          <w:sz w:val="18"/>
        </w:rPr>
        <w:t xml:space="preserve">  “patients will be asked to take 20 mg tasimelteon daily approximately 60 minutes prior to their target bedtime”</w:t>
      </w:r>
      <w:r>
        <w:rPr>
          <w:rFonts w:ascii="Calibri" w:hAnsi="Calibri"/>
          <w:b w:val="0"/>
          <w:i w:val="0"/>
          <w:color w:val="595959"/>
          <w:sz w:val="17"/>
        </w:rPr>
        <w:t xml:space="preserve"> — NCT:NCT01218789 (ClinicalTrials.gov 2010) (abstract (screening grade))</w:t>
      </w:r>
    </w:p>
    <w:p>
      <w:pPr>
        <w:pStyle w:val="ListBullet"/>
        <w:spacing w:after="40" w:before="0"/>
      </w:pPr>
      <w:r>
        <w:rPr>
          <w:rFonts w:ascii="Calibri" w:hAnsi="Calibri"/>
          <w:b/>
          <w:i w:val="0"/>
          <w:color w:val="142B4A"/>
          <w:sz w:val="19"/>
        </w:rPr>
        <w:t xml:space="preserve">Problem–solution fit. </w:t>
      </w:r>
      <w:r>
        <w:rPr>
          <w:rFonts w:ascii="Calibri" w:hAnsi="Calibri"/>
          <w:b w:val="0"/>
          <w:i w:val="0"/>
          <w:sz w:val="19"/>
        </w:rPr>
        <w:t>Primary reference establishes tasimelteon 20 mg once daily as the therapeutic solution for N24HSWD in LPI patients, which is the disorder and population recited in the claim.</w:t>
      </w:r>
      <w:r>
        <w:rPr>
          <w:rFonts w:ascii="Calibri" w:hAnsi="Calibri"/>
          <w:b w:val="0"/>
          <w:i/>
          <w:sz w:val="18"/>
        </w:rPr>
        <w:t xml:space="preserve">  “Non-24-Hour Sleep-Wake Disorder (N24HSWD) occurs when individuals, primarily those without light perception, are unable to synchronize their endogenous circadian pacemaker to the 24-hour light-dark cycle”</w:t>
      </w:r>
      <w:r>
        <w:rPr>
          <w:rFonts w:ascii="Calibri" w:hAnsi="Calibri"/>
          <w:b w:val="0"/>
          <w:i w:val="0"/>
          <w:color w:val="595959"/>
          <w:sz w:val="17"/>
        </w:rPr>
        <w:t xml:space="preserve"> — NCT:NCT01218789 (ClinicalTrials.gov 2010) (abstract (screening grade))</w:t>
      </w:r>
    </w:p>
    <w:p>
      <w:pPr>
        <w:spacing w:after="20" w:before="0"/>
      </w:pPr>
      <w:r>
        <w:rPr>
          <w:rFonts w:ascii="Calibri" w:hAnsi="Calibri"/>
          <w:b/>
          <w:i w:val="0"/>
          <w:color w:val="9A2D2D"/>
          <w:sz w:val="19"/>
        </w:rPr>
        <w:t>Weakening evidence</w:t>
      </w:r>
    </w:p>
    <w:p>
      <w:pPr>
        <w:pStyle w:val="ListBullet"/>
        <w:spacing w:after="40" w:before="0"/>
      </w:pPr>
      <w:r>
        <w:rPr>
          <w:rFonts w:ascii="Calibri" w:hAnsi="Calibri"/>
          <w:b/>
          <w:i w:val="0"/>
          <w:color w:val="142B4A"/>
          <w:sz w:val="19"/>
        </w:rPr>
        <w:t xml:space="preserve">Contrary evidence. </w:t>
      </w:r>
      <w:r>
        <w:rPr>
          <w:rFonts w:ascii="Calibri" w:hAnsi="Calibri"/>
          <w:b w:val="0"/>
          <w:i w:val="0"/>
          <w:sz w:val="19"/>
        </w:rPr>
        <w:t>Neither reference mentions rifampicin, CYP3A4 induction, or any drug-drug interaction, so there is no disclosed basis for the discontinuation step of the claim.</w:t>
      </w:r>
      <w:r>
        <w:rPr>
          <w:rFonts w:ascii="Calibri" w:hAnsi="Calibri"/>
          <w:b w:val="0"/>
          <w:i/>
          <w:sz w:val="18"/>
        </w:rPr>
        <w:t xml:space="preserve">  “patients will be asked to take 20 mg tasimelteon daily approximately 60 minutes prior to their target bedtime for 52 weeks in an open-label fashion”</w:t>
      </w:r>
      <w:r>
        <w:rPr>
          <w:rFonts w:ascii="Calibri" w:hAnsi="Calibri"/>
          <w:b w:val="0"/>
          <w:i w:val="0"/>
          <w:color w:val="595959"/>
          <w:sz w:val="17"/>
        </w:rPr>
        <w:t xml:space="preserve"> — NCT:NCT01218789 (ClinicalTrials.gov 2010) (abstract (screening grade))</w:t>
      </w:r>
    </w:p>
    <w:p>
      <w:pPr>
        <w:keepNext/>
        <w:spacing w:before="120" w:after="40"/>
      </w:pPr>
      <w:r>
        <w:rPr>
          <w:rFonts w:ascii="Calibri Light" w:hAnsi="Calibri Light"/>
          <w:b/>
          <w:i w:val="0"/>
          <w:color w:val="142B4A"/>
          <w:sz w:val="23"/>
        </w:rPr>
        <w:t>Plausibility check (engine-generated, unweighed)</w:t>
      </w:r>
    </w:p>
    <w:tbl>
      <w:tblPr>
        <w:tblStyle w:val="TableGrid"/>
        <w:tblW w:type="auto" w:w="0"/>
        <w:tblLook w:firstColumn="1" w:firstRow="1" w:lastColumn="0" w:lastRow="0" w:noHBand="0" w:noVBand="1" w:val="04A0"/>
      </w:tblPr>
      <w:tblGrid>
        <w:gridCol w:w="4824"/>
        <w:gridCol w:w="4824"/>
      </w:tblGrid>
      <w:tr>
        <w:tc>
          <w:tcPr>
            <w:tcW w:type="dxa" w:w="2592"/>
            <w:shd w:val="clear" w:color="auto" w:fill="142B4A"/>
          </w:tcPr>
          <w:p>
            <w:pPr>
              <w:spacing w:after="0" w:before="0"/>
            </w:pPr>
            <w:r/>
            <w:r>
              <w:rPr>
                <w:rFonts w:ascii="Calibri" w:hAnsi="Calibri"/>
                <w:b/>
                <w:i w:val="0"/>
                <w:color w:val="C9A227"/>
                <w:sz w:val="15"/>
              </w:rPr>
              <w:t>FACTOR</w:t>
            </w:r>
          </w:p>
        </w:tc>
        <w:tc>
          <w:tcPr>
            <w:tcW w:type="dxa" w:w="7200"/>
            <w:shd w:val="clear" w:color="auto" w:fill="142B4A"/>
          </w:tcPr>
          <w:p>
            <w:pPr>
              <w:spacing w:after="0" w:before="0"/>
            </w:pPr>
            <w:r/>
            <w:r>
              <w:rPr>
                <w:rFonts w:ascii="Calibri" w:hAnsi="Calibri"/>
                <w:b/>
                <w:i w:val="0"/>
                <w:color w:val="C9A227"/>
                <w:sz w:val="15"/>
              </w:rPr>
              <w:t>ASSESSMENT</w:t>
            </w:r>
          </w:p>
        </w:tc>
      </w:tr>
      <w:tr>
        <w:tc>
          <w:tcPr>
            <w:tcW w:type="dxa" w:w="2592"/>
          </w:tcPr>
          <w:p>
            <w:pPr>
              <w:spacing w:after="0" w:before="0"/>
            </w:pPr>
            <w:r/>
            <w:r>
              <w:rPr>
                <w:rFonts w:ascii="Calibri" w:hAnsi="Calibri"/>
                <w:b w:val="0"/>
                <w:i w:val="0"/>
                <w:sz w:val="17"/>
              </w:rPr>
              <w:t>Technical-field relationship</w:t>
            </w:r>
          </w:p>
        </w:tc>
        <w:tc>
          <w:tcPr>
            <w:tcW w:type="dxa" w:w="7200"/>
          </w:tcPr>
          <w:p>
            <w:pPr>
              <w:spacing w:after="0" w:before="0"/>
            </w:pPr>
            <w:r/>
            <w:r>
              <w:rPr>
                <w:rFonts w:ascii="Calibri" w:hAnsi="Calibri"/>
                <w:b w:val="0"/>
                <w:i w:val="0"/>
                <w:sz w:val="17"/>
              </w:rPr>
              <w:t>Both references are clinical trials of tasimelteon for Non-24-Hour Sleep-Wake Disorder in the same patient population, placing them in a closely related field.</w:t>
            </w:r>
          </w:p>
        </w:tc>
      </w:tr>
      <w:tr>
        <w:tc>
          <w:tcPr>
            <w:tcW w:type="dxa" w:w="2592"/>
            <w:shd w:val="clear" w:color="auto" w:fill="F4F6FA"/>
          </w:tcPr>
          <w:p>
            <w:pPr>
              <w:spacing w:after="0" w:before="0"/>
            </w:pPr>
            <w:r/>
            <w:r>
              <w:rPr>
                <w:rFonts w:ascii="Calibri" w:hAnsi="Calibri"/>
                <w:b w:val="0"/>
                <w:i w:val="0"/>
                <w:sz w:val="17"/>
              </w:rPr>
              <w:t>Problem relationship</w:t>
            </w:r>
          </w:p>
        </w:tc>
        <w:tc>
          <w:tcPr>
            <w:tcW w:type="dxa" w:w="7200"/>
            <w:shd w:val="clear" w:color="auto" w:fill="F4F6FA"/>
          </w:tcPr>
          <w:p>
            <w:pPr>
              <w:spacing w:after="0" w:before="0"/>
            </w:pPr>
            <w:r/>
            <w:r>
              <w:rPr>
                <w:rFonts w:ascii="Calibri" w:hAnsi="Calibri"/>
                <w:b w:val="0"/>
                <w:i w:val="0"/>
                <w:sz w:val="17"/>
              </w:rPr>
              <w:t>Both references address maintenance/safety of a 20 mg once-daily tasimelteon regimen for N24HSWD, but neither addresses the rifampicin/CYP3A4 drug interaction problem recited in the claim.</w:t>
            </w:r>
          </w:p>
        </w:tc>
      </w:tr>
      <w:tr>
        <w:tc>
          <w:tcPr>
            <w:tcW w:type="dxa" w:w="2592"/>
          </w:tcPr>
          <w:p>
            <w:pPr>
              <w:spacing w:after="0" w:before="0"/>
            </w:pPr>
            <w:r/>
            <w:r>
              <w:rPr>
                <w:rFonts w:ascii="Calibri" w:hAnsi="Calibri"/>
                <w:b w:val="0"/>
                <w:i w:val="0"/>
                <w:sz w:val="17"/>
              </w:rPr>
              <w:t>Component compatibility</w:t>
            </w:r>
          </w:p>
        </w:tc>
        <w:tc>
          <w:tcPr>
            <w:tcW w:type="dxa" w:w="7200"/>
          </w:tcPr>
          <w:p>
            <w:pPr>
              <w:spacing w:after="0" w:before="0"/>
            </w:pPr>
            <w:r/>
            <w:r>
              <w:rPr>
                <w:rFonts w:ascii="Calibri" w:hAnsi="Calibri"/>
                <w:b w:val="0"/>
                <w:i w:val="0"/>
                <w:sz w:val="17"/>
              </w:rPr>
              <w:t>The dosing regimens (20 mg tasimelteon once daily before bedtime) described in both references are identical and could be directly combined as a single treatment protocol.</w:t>
            </w:r>
          </w:p>
        </w:tc>
      </w:tr>
      <w:tr>
        <w:tc>
          <w:tcPr>
            <w:tcW w:type="dxa" w:w="2592"/>
            <w:shd w:val="clear" w:color="auto" w:fill="F4F6FA"/>
          </w:tcPr>
          <w:p>
            <w:pPr>
              <w:spacing w:after="0" w:before="0"/>
            </w:pPr>
            <w:r/>
            <w:r>
              <w:rPr>
                <w:rFonts w:ascii="Calibri" w:hAnsi="Calibri"/>
                <w:b w:val="0"/>
                <w:i w:val="0"/>
                <w:sz w:val="17"/>
              </w:rPr>
              <w:t>Redesign required</w:t>
            </w:r>
          </w:p>
        </w:tc>
        <w:tc>
          <w:tcPr>
            <w:tcW w:type="dxa" w:w="7200"/>
            <w:shd w:val="clear" w:color="auto" w:fill="F4F6FA"/>
          </w:tcPr>
          <w:p>
            <w:pPr>
              <w:spacing w:after="0" w:before="0"/>
            </w:pPr>
            <w:r/>
            <w:r>
              <w:rPr>
                <w:rFonts w:ascii="Calibri" w:hAnsi="Calibri"/>
                <w:b w:val="0"/>
                <w:i w:val="0"/>
                <w:sz w:val="17"/>
              </w:rPr>
              <w:t>—</w:t>
            </w:r>
          </w:p>
        </w:tc>
      </w:tr>
    </w:tbl>
    <w:p>
      <w:pPr>
        <w:spacing w:after="40" w:before="0"/>
      </w:pPr>
    </w:p>
    <w:p>
      <w:pPr>
        <w:spacing w:after="80" w:before="0"/>
      </w:pPr>
      <w:r>
        <w:rPr>
          <w:rFonts w:ascii="Calibri" w:hAnsi="Calibri"/>
          <w:b w:val="0"/>
          <w:i/>
          <w:color w:val="595959"/>
          <w:sz w:val="17"/>
        </w:rPr>
        <w:t>1 reason(s) the model offered were dropped because their quotes could not be verified against the members' text.</w:t>
      </w:r>
    </w:p>
    <w:p>
      <w:pPr>
        <w:keepNext/>
        <w:spacing w:before="120" w:after="40"/>
      </w:pPr>
      <w:r>
        <w:rPr>
          <w:rFonts w:ascii="Calibri Light" w:hAnsi="Calibri Light"/>
          <w:b/>
          <w:i w:val="0"/>
          <w:color w:val="142B4A"/>
          <w:sz w:val="23"/>
        </w:rPr>
        <w:t>Alternative combination 2 — Safety Study of Tasimelteon for Treatment of Non-24-Hour-Sleep-Wake Disorder in Blind Indi... + Melatonin agonist tasimelteon (VEC-162) for transient insomnia after sleep-time shift: two... + EP2308491B1 (Bradford et al.) + US20100056622A1 (Lauterbach)</w:t>
      </w:r>
    </w:p>
    <w:p>
      <w:pPr>
        <w:spacing w:after="40" w:before="0"/>
      </w:pPr>
      <w:r>
        <w:rPr>
          <w:rFonts w:ascii="Calibri" w:hAnsi="Calibri"/>
          <w:b/>
          <w:i w:val="0"/>
          <w:color w:val="142B4A"/>
          <w:sz w:val="19"/>
        </w:rPr>
        <w:t xml:space="preserve">Primary / secondary: </w:t>
      </w:r>
      <w:r>
        <w:rPr>
          <w:rFonts w:ascii="Calibri" w:hAnsi="Calibri"/>
          <w:b w:val="0"/>
          <w:i w:val="0"/>
          <w:sz w:val="19"/>
        </w:rPr>
        <w:t>NCT:NCT01218789 (ClinicalTrials.gov 2010) is the primary reference (it reaches the most pieces); PMID:19054552 (Rajaratnam et al. 2009), EP2308491B1 (Bradford et al.), US20100056622A1 (Lauterbach) supply the rest.</w:t>
      </w:r>
    </w:p>
    <w:p>
      <w:pPr>
        <w:spacing w:after="40" w:before="0"/>
      </w:pPr>
      <w:r>
        <w:rPr>
          <w:rFonts w:ascii="Calibri" w:hAnsi="Calibri"/>
          <w:b/>
          <w:i w:val="0"/>
          <w:color w:val="142B4A"/>
          <w:sz w:val="20"/>
        </w:rPr>
        <w:t xml:space="preserve">Verdict: </w:t>
      </w:r>
      <w:r>
        <w:rPr>
          <w:rFonts w:ascii="Calibri" w:hAnsi="Calibri"/>
          <w:b/>
          <w:i w:val="0"/>
          <w:color w:val="2E7D32"/>
          <w:sz w:val="20"/>
        </w:rPr>
        <w:t>Support with a documented objection</w:t>
      </w:r>
      <w:r>
        <w:rPr>
          <w:rFonts w:ascii="Calibri" w:hAnsi="Calibri"/>
          <w:b w:val="0"/>
          <w:i w:val="0"/>
          <w:color w:val="595959"/>
          <w:sz w:val="17"/>
        </w:rPr>
        <w:t xml:space="preserve">   · reasons verified against abstract (screening grade)</w:t>
      </w:r>
    </w:p>
    <w:p>
      <w:pPr>
        <w:spacing w:after="40" w:before="0"/>
      </w:pPr>
      <w:r>
        <w:rPr>
          <w:rFonts w:ascii="Calibri" w:hAnsi="Calibri"/>
          <w:b/>
          <w:i w:val="0"/>
          <w:color w:val="142B4A"/>
          <w:sz w:val="19"/>
        </w:rPr>
        <w:t xml:space="preserve">Problem addressed: </w:t>
      </w:r>
      <w:r>
        <w:rPr>
          <w:rFonts w:ascii="Calibri" w:hAnsi="Calibri"/>
          <w:b w:val="0"/>
          <w:i w:val="0"/>
          <w:sz w:val="19"/>
        </w:rPr>
        <w:t>Managing tasimelteon dosing for circadian rhythm sleep disorders in patients whose prior rifampicin treatment could reduce tasimelteon exposure via CYP3A4 induction, while maintaining the established 20 mg once-daily regimen for Non-24-Hour Sleep-Wake Disorder.</w:t>
      </w:r>
    </w:p>
    <w:p>
      <w:pPr>
        <w:spacing w:after="20" w:before="0"/>
      </w:pPr>
      <w:r>
        <w:rPr>
          <w:rFonts w:ascii="Calibri" w:hAnsi="Calibri"/>
          <w:b/>
          <w:i w:val="0"/>
          <w:color w:val="2E7D32"/>
          <w:sz w:val="19"/>
        </w:rPr>
        <w:t>Reason to combine and expectation of success</w:t>
      </w:r>
    </w:p>
    <w:p>
      <w:pPr>
        <w:pStyle w:val="ListBullet"/>
        <w:spacing w:after="40" w:before="0"/>
      </w:pPr>
      <w:r>
        <w:rPr>
          <w:rFonts w:ascii="Calibri" w:hAnsi="Calibri"/>
          <w:b/>
          <w:i w:val="0"/>
          <w:color w:val="142B4A"/>
          <w:sz w:val="19"/>
        </w:rPr>
        <w:t xml:space="preserve">Shared field of use. </w:t>
      </w:r>
      <w:r>
        <w:rPr>
          <w:rFonts w:ascii="Calibri" w:hAnsi="Calibri"/>
          <w:b w:val="0"/>
          <w:i w:val="0"/>
          <w:sz w:val="19"/>
        </w:rPr>
        <w:t>Both references concern dosing tasimelteon for circadian rhythm sleep disorders including N24HSWD in light-perception-impaired patients.</w:t>
      </w:r>
      <w:r>
        <w:rPr>
          <w:rFonts w:ascii="Calibri" w:hAnsi="Calibri"/>
          <w:b w:val="0"/>
          <w:i/>
          <w:sz w:val="18"/>
        </w:rPr>
        <w:t xml:space="preserve">  “evaluate the safety of a one year open-label treatment of tasimelteon in male and female subjects with Non-24-Hour Sleep-Wake Disorder”</w:t>
      </w:r>
      <w:r>
        <w:rPr>
          <w:rFonts w:ascii="Calibri" w:hAnsi="Calibri"/>
          <w:b w:val="0"/>
          <w:i w:val="0"/>
          <w:color w:val="595959"/>
          <w:sz w:val="17"/>
        </w:rPr>
        <w:t xml:space="preserve"> — NCT:NCT01218789 (ClinicalTrials.gov 2010) (abstract (screening grade))</w:t>
      </w:r>
    </w:p>
    <w:p>
      <w:pPr>
        <w:pStyle w:val="ListBullet"/>
        <w:spacing w:after="40" w:before="0"/>
      </w:pPr>
      <w:r>
        <w:rPr>
          <w:rFonts w:ascii="Calibri" w:hAnsi="Calibri"/>
          <w:b/>
          <w:i w:val="0"/>
          <w:color w:val="142B4A"/>
          <w:sz w:val="19"/>
        </w:rPr>
        <w:t xml:space="preserve">Problem–solution fit. </w:t>
      </w:r>
      <w:r>
        <w:rPr>
          <w:rFonts w:ascii="Calibri" w:hAnsi="Calibri"/>
          <w:b w:val="0"/>
          <w:i w:val="0"/>
          <w:sz w:val="19"/>
        </w:rPr>
        <w:t>The primary reference establishes the exact dosing regimen (20 mg daily before bedtime) claimed, providing the therapeutic protocol to be applied after rifampicin discontinuation.</w:t>
      </w:r>
      <w:r>
        <w:rPr>
          <w:rFonts w:ascii="Calibri" w:hAnsi="Calibri"/>
          <w:b w:val="0"/>
          <w:i/>
          <w:sz w:val="18"/>
        </w:rPr>
        <w:t xml:space="preserve">  “patients will be asked to take 20 mg tasimelteon daily approximately 60 minutes prior to their target bedtime for 52 weeks”</w:t>
      </w:r>
      <w:r>
        <w:rPr>
          <w:rFonts w:ascii="Calibri" w:hAnsi="Calibri"/>
          <w:b w:val="0"/>
          <w:i w:val="0"/>
          <w:color w:val="595959"/>
          <w:sz w:val="17"/>
        </w:rPr>
        <w:t xml:space="preserve"> — NCT:NCT01218789 (ClinicalTrials.gov 2010) (abstract (screening grade))</w:t>
      </w:r>
    </w:p>
    <w:p>
      <w:pPr>
        <w:pStyle w:val="ListBullet"/>
        <w:spacing w:after="40" w:before="0"/>
      </w:pPr>
      <w:r>
        <w:rPr>
          <w:rFonts w:ascii="Calibri" w:hAnsi="Calibri"/>
          <w:b/>
          <w:i w:val="0"/>
          <w:color w:val="142B4A"/>
          <w:sz w:val="19"/>
        </w:rPr>
        <w:t xml:space="preserve">Expectation of success. </w:t>
      </w:r>
      <w:r>
        <w:rPr>
          <w:rFonts w:ascii="Calibri" w:hAnsi="Calibri"/>
          <w:b w:val="0"/>
          <w:i w:val="0"/>
          <w:sz w:val="19"/>
        </w:rPr>
        <w:t>The secondary reference shows tasimelteon at 20 mg is efficacious and safe for circadian rhythm sleep disorders, supporting expectation that this dose would work once rifampicin is discontinued.</w:t>
      </w:r>
      <w:r>
        <w:rPr>
          <w:rFonts w:ascii="Calibri" w:hAnsi="Calibri"/>
          <w:b w:val="0"/>
          <w:i/>
          <w:sz w:val="18"/>
        </w:rPr>
        <w:t xml:space="preserve">  “tasimelteon (20 [n=100], 50 [n=102], or 100 mg [n=106]) or placebo (n=103) 30 min before bedtime”</w:t>
      </w:r>
      <w:r>
        <w:rPr>
          <w:rFonts w:ascii="Calibri" w:hAnsi="Calibri"/>
          <w:b w:val="0"/>
          <w:i w:val="0"/>
          <w:color w:val="595959"/>
          <w:sz w:val="17"/>
        </w:rPr>
        <w:t xml:space="preserve"> — PMID:19054552 (Rajaratnam et al. 2009) (abstract (screening grade))</w:t>
      </w:r>
    </w:p>
    <w:p>
      <w:pPr>
        <w:spacing w:after="20" w:before="0"/>
      </w:pPr>
      <w:r>
        <w:rPr>
          <w:rFonts w:ascii="Calibri" w:hAnsi="Calibri"/>
          <w:b/>
          <w:i w:val="0"/>
          <w:color w:val="9A2D2D"/>
          <w:sz w:val="19"/>
        </w:rPr>
        <w:t>Weakening evidence</w:t>
      </w:r>
    </w:p>
    <w:p>
      <w:pPr>
        <w:pStyle w:val="ListBullet"/>
        <w:spacing w:after="40" w:before="0"/>
      </w:pPr>
      <w:r>
        <w:rPr>
          <w:rFonts w:ascii="Calibri" w:hAnsi="Calibri"/>
          <w:b/>
          <w:i w:val="0"/>
          <w:color w:val="142B4A"/>
          <w:sz w:val="19"/>
        </w:rPr>
        <w:t xml:space="preserve">Contrary evidence. </w:t>
      </w:r>
      <w:r>
        <w:rPr>
          <w:rFonts w:ascii="Calibri" w:hAnsi="Calibri"/>
          <w:b w:val="0"/>
          <w:i w:val="0"/>
          <w:sz w:val="19"/>
        </w:rPr>
        <w:t>Neither reference discusses rifampicin, CYP3A4 induction, or any drug-drug interaction concern, so there is no explicit teaching motivating discontinuation of rifampicin before tasimelteon treatment.</w:t>
      </w:r>
      <w:r>
        <w:rPr>
          <w:rFonts w:ascii="Calibri" w:hAnsi="Calibri"/>
          <w:b w:val="0"/>
          <w:i/>
          <w:sz w:val="18"/>
        </w:rPr>
        <w:t xml:space="preserve">  “This will be a multicenter, open-label study.”</w:t>
      </w:r>
      <w:r>
        <w:rPr>
          <w:rFonts w:ascii="Calibri" w:hAnsi="Calibri"/>
          <w:b w:val="0"/>
          <w:i w:val="0"/>
          <w:color w:val="595959"/>
          <w:sz w:val="17"/>
        </w:rPr>
        <w:t xml:space="preserve"> — NCT:NCT01218789 (ClinicalTrials.gov 2010) (abstract (screening grade))</w:t>
      </w:r>
    </w:p>
    <w:p>
      <w:pPr>
        <w:pStyle w:val="ListBullet"/>
        <w:spacing w:after="40" w:before="0"/>
      </w:pPr>
      <w:r>
        <w:rPr>
          <w:rFonts w:ascii="Calibri" w:hAnsi="Calibri"/>
          <w:b/>
          <w:i w:val="0"/>
          <w:color w:val="142B4A"/>
          <w:sz w:val="19"/>
        </w:rPr>
        <w:t xml:space="preserve">Contrary evidence. </w:t>
      </w:r>
      <w:r>
        <w:rPr>
          <w:rFonts w:ascii="Calibri" w:hAnsi="Calibri"/>
          <w:b w:val="0"/>
          <w:i w:val="0"/>
          <w:sz w:val="19"/>
        </w:rPr>
        <w:t>The secondary study was conducted in healthy individuals with transient insomnia, not patients on rifampicin or with hepatic enzyme induction, so it provides no basis for addressing the interaction problem.</w:t>
      </w:r>
      <w:r>
        <w:rPr>
          <w:rFonts w:ascii="Calibri" w:hAnsi="Calibri"/>
          <w:b w:val="0"/>
          <w:i/>
          <w:sz w:val="18"/>
        </w:rPr>
        <w:t xml:space="preserve">  “39 healthy individuals from two US sites were randomly assigned to tasimelteon”</w:t>
      </w:r>
      <w:r>
        <w:rPr>
          <w:rFonts w:ascii="Calibri" w:hAnsi="Calibri"/>
          <w:b w:val="0"/>
          <w:i w:val="0"/>
          <w:color w:val="595959"/>
          <w:sz w:val="17"/>
        </w:rPr>
        <w:t xml:space="preserve"> — PMID:19054552 (Rajaratnam et al. 2009) (abstract (screening grade))</w:t>
      </w:r>
    </w:p>
    <w:p>
      <w:pPr>
        <w:keepNext/>
        <w:spacing w:before="120" w:after="40"/>
      </w:pPr>
      <w:r>
        <w:rPr>
          <w:rFonts w:ascii="Calibri Light" w:hAnsi="Calibri Light"/>
          <w:b/>
          <w:i w:val="0"/>
          <w:color w:val="142B4A"/>
          <w:sz w:val="23"/>
        </w:rPr>
        <w:t>Plausibility check (engine-generated, unweighed)</w:t>
      </w:r>
    </w:p>
    <w:tbl>
      <w:tblPr>
        <w:tblStyle w:val="TableGrid"/>
        <w:tblW w:type="auto" w:w="0"/>
        <w:tblLook w:firstColumn="1" w:firstRow="1" w:lastColumn="0" w:lastRow="0" w:noHBand="0" w:noVBand="1" w:val="04A0"/>
      </w:tblPr>
      <w:tblGrid>
        <w:gridCol w:w="4824"/>
        <w:gridCol w:w="4824"/>
      </w:tblGrid>
      <w:tr>
        <w:tc>
          <w:tcPr>
            <w:tcW w:type="dxa" w:w="2592"/>
            <w:shd w:val="clear" w:color="auto" w:fill="142B4A"/>
          </w:tcPr>
          <w:p>
            <w:pPr>
              <w:spacing w:after="0" w:before="0"/>
            </w:pPr>
            <w:r/>
            <w:r>
              <w:rPr>
                <w:rFonts w:ascii="Calibri" w:hAnsi="Calibri"/>
                <w:b/>
                <w:i w:val="0"/>
                <w:color w:val="C9A227"/>
                <w:sz w:val="15"/>
              </w:rPr>
              <w:t>FACTOR</w:t>
            </w:r>
          </w:p>
        </w:tc>
        <w:tc>
          <w:tcPr>
            <w:tcW w:type="dxa" w:w="7200"/>
            <w:shd w:val="clear" w:color="auto" w:fill="142B4A"/>
          </w:tcPr>
          <w:p>
            <w:pPr>
              <w:spacing w:after="0" w:before="0"/>
            </w:pPr>
            <w:r/>
            <w:r>
              <w:rPr>
                <w:rFonts w:ascii="Calibri" w:hAnsi="Calibri"/>
                <w:b/>
                <w:i w:val="0"/>
                <w:color w:val="C9A227"/>
                <w:sz w:val="15"/>
              </w:rPr>
              <w:t>ASSESSMENT</w:t>
            </w:r>
          </w:p>
        </w:tc>
      </w:tr>
      <w:tr>
        <w:tc>
          <w:tcPr>
            <w:tcW w:type="dxa" w:w="2592"/>
          </w:tcPr>
          <w:p>
            <w:pPr>
              <w:spacing w:after="0" w:before="0"/>
            </w:pPr>
            <w:r/>
            <w:r>
              <w:rPr>
                <w:rFonts w:ascii="Calibri" w:hAnsi="Calibri"/>
                <w:b w:val="0"/>
                <w:i w:val="0"/>
                <w:sz w:val="17"/>
              </w:rPr>
              <w:t>Technical-field relationship</w:t>
            </w:r>
          </w:p>
        </w:tc>
        <w:tc>
          <w:tcPr>
            <w:tcW w:type="dxa" w:w="7200"/>
          </w:tcPr>
          <w:p>
            <w:pPr>
              <w:spacing w:after="0" w:before="0"/>
            </w:pPr>
            <w:r/>
            <w:r>
              <w:rPr>
                <w:rFonts w:ascii="Calibri" w:hAnsi="Calibri"/>
                <w:b w:val="0"/>
                <w:i w:val="0"/>
                <w:sz w:val="17"/>
              </w:rPr>
              <w:t>Both references are in the field of tasimelteon treatment for circadian rhythm/sleep disorders, as shown by PRIMARY's N24HSWD study and SECONDARY's transient insomnia study.</w:t>
            </w:r>
          </w:p>
        </w:tc>
      </w:tr>
      <w:tr>
        <w:tc>
          <w:tcPr>
            <w:tcW w:type="dxa" w:w="2592"/>
            <w:shd w:val="clear" w:color="auto" w:fill="F4F6FA"/>
          </w:tcPr>
          <w:p>
            <w:pPr>
              <w:spacing w:after="0" w:before="0"/>
            </w:pPr>
            <w:r/>
            <w:r>
              <w:rPr>
                <w:rFonts w:ascii="Calibri" w:hAnsi="Calibri"/>
                <w:b w:val="0"/>
                <w:i w:val="0"/>
                <w:sz w:val="17"/>
              </w:rPr>
              <w:t>Problem relationship</w:t>
            </w:r>
          </w:p>
        </w:tc>
        <w:tc>
          <w:tcPr>
            <w:tcW w:type="dxa" w:w="7200"/>
            <w:shd w:val="clear" w:color="auto" w:fill="F4F6FA"/>
          </w:tcPr>
          <w:p>
            <w:pPr>
              <w:spacing w:after="0" w:before="0"/>
            </w:pPr>
            <w:r/>
            <w:r>
              <w:rPr>
                <w:rFonts w:ascii="Calibri" w:hAnsi="Calibri"/>
                <w:b w:val="0"/>
                <w:i w:val="0"/>
                <w:sz w:val="17"/>
              </w:rPr>
              <w:t>PRIMARY addresses long-term dosing of tasimelteon for N24HSWD while SECONDARY addresses efficacy of tasimelteon for sleep-time-shift insomnia, but neither addresses the CYP3A4/rifampicin interaction problem.</w:t>
            </w:r>
          </w:p>
        </w:tc>
      </w:tr>
      <w:tr>
        <w:tc>
          <w:tcPr>
            <w:tcW w:type="dxa" w:w="2592"/>
          </w:tcPr>
          <w:p>
            <w:pPr>
              <w:spacing w:after="0" w:before="0"/>
            </w:pPr>
            <w:r/>
            <w:r>
              <w:rPr>
                <w:rFonts w:ascii="Calibri" w:hAnsi="Calibri"/>
                <w:b w:val="0"/>
                <w:i w:val="0"/>
                <w:sz w:val="17"/>
              </w:rPr>
              <w:t>Component compatibility</w:t>
            </w:r>
          </w:p>
        </w:tc>
        <w:tc>
          <w:tcPr>
            <w:tcW w:type="dxa" w:w="7200"/>
          </w:tcPr>
          <w:p>
            <w:pPr>
              <w:spacing w:after="0" w:before="0"/>
            </w:pPr>
            <w:r/>
            <w:r>
              <w:rPr>
                <w:rFonts w:ascii="Calibri" w:hAnsi="Calibri"/>
                <w:b w:val="0"/>
                <w:i w:val="0"/>
                <w:sz w:val="17"/>
              </w:rPr>
              <w:t>The 20 mg once-daily before-bedtime regimen described in PRIMARY is consistent with the 20 mg dose tested in SECONDARY's phase III study.</w:t>
            </w:r>
          </w:p>
        </w:tc>
      </w:tr>
      <w:tr>
        <w:tc>
          <w:tcPr>
            <w:tcW w:type="dxa" w:w="2592"/>
            <w:shd w:val="clear" w:color="auto" w:fill="F4F6FA"/>
          </w:tcPr>
          <w:p>
            <w:pPr>
              <w:spacing w:after="0" w:before="0"/>
            </w:pPr>
            <w:r/>
            <w:r>
              <w:rPr>
                <w:rFonts w:ascii="Calibri" w:hAnsi="Calibri"/>
                <w:b w:val="0"/>
                <w:i w:val="0"/>
                <w:sz w:val="17"/>
              </w:rPr>
              <w:t>Redesign required</w:t>
            </w:r>
          </w:p>
        </w:tc>
        <w:tc>
          <w:tcPr>
            <w:tcW w:type="dxa" w:w="7200"/>
            <w:shd w:val="clear" w:color="auto" w:fill="F4F6FA"/>
          </w:tcPr>
          <w:p>
            <w:pPr>
              <w:spacing w:after="0" w:before="0"/>
            </w:pPr>
            <w:r/>
            <w:r>
              <w:rPr>
                <w:rFonts w:ascii="Calibri" w:hAnsi="Calibri"/>
                <w:b w:val="0"/>
                <w:i w:val="0"/>
                <w:sz w:val="17"/>
              </w:rPr>
              <w:t>—</w:t>
            </w:r>
          </w:p>
        </w:tc>
      </w:tr>
    </w:tbl>
    <w:p>
      <w:pPr>
        <w:spacing w:after="40" w:before="0"/>
      </w:pPr>
    </w:p>
    <w:p>
      <w:pPr>
        <w:keepNext/>
        <w:spacing w:before="240" w:after="60"/>
        <w:pBdr>
          <w:bottom w:val="single" w:sz="4" w:color="C9A227"/>
        </w:pBdr>
      </w:pPr>
      <w:r>
        <w:rPr>
          <w:rFonts w:ascii="Calibri Light" w:hAnsi="Calibri Light"/>
          <w:b/>
          <w:i w:val="0"/>
          <w:color w:val="C9A227"/>
          <w:sz w:val="30"/>
        </w:rPr>
        <w:t xml:space="preserve">06  </w:t>
      </w:r>
      <w:r>
        <w:rPr>
          <w:rFonts w:ascii="Calibri Light" w:hAnsi="Calibri Light"/>
          <w:b w:val="0"/>
          <w:i w:val="0"/>
          <w:color w:val="142B4A"/>
          <w:sz w:val="30"/>
        </w:rPr>
        <w:t>Relationship to seeded or litigated art</w:t>
      </w:r>
    </w:p>
    <w:p>
      <w:pPr>
        <w:spacing w:after="80" w:before="0"/>
      </w:pPr>
      <w:r>
        <w:rPr>
          <w:rFonts w:ascii="Calibri" w:hAnsi="Calibri"/>
          <w:b w:val="0"/>
          <w:i w:val="0"/>
          <w:sz w:val="18"/>
        </w:rPr>
        <w:t>Rendered when the operator supplies seeded references (art relied on in an earlier invalidity analysis). The engine then reports, for each, whether it surfaced in the pool; if not, whether the gap lanes or the resolver would have retrieved it under realistic phrasing; and how the engine-found combination differs from that analysis. For US9730910B2 (Dressman) no seeded references were supplied, so this run stands on its own discovery.</w:t>
      </w:r>
    </w:p>
    <w:p>
      <w:pPr>
        <w:keepNext/>
        <w:spacing w:before="240" w:after="60"/>
        <w:pBdr>
          <w:bottom w:val="single" w:sz="4" w:color="C9A227"/>
        </w:pBdr>
      </w:pPr>
      <w:r>
        <w:rPr>
          <w:rFonts w:ascii="Calibri Light" w:hAnsi="Calibri Light"/>
          <w:b/>
          <w:i w:val="0"/>
          <w:color w:val="C9A227"/>
          <w:sz w:val="30"/>
        </w:rPr>
        <w:t xml:space="preserve">07  </w:t>
      </w:r>
      <w:r>
        <w:rPr>
          <w:rFonts w:ascii="Calibri Light" w:hAnsi="Calibri Light"/>
          <w:b w:val="0"/>
          <w:i w:val="0"/>
          <w:color w:val="142B4A"/>
          <w:sz w:val="30"/>
        </w:rPr>
        <w:t>Reference table</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728"/>
            <w:shd w:val="clear" w:color="auto" w:fill="142B4A"/>
          </w:tcPr>
          <w:p>
            <w:pPr>
              <w:spacing w:after="0" w:before="0"/>
            </w:pPr>
            <w:r/>
            <w:r>
              <w:rPr>
                <w:rFonts w:ascii="Calibri" w:hAnsi="Calibri"/>
                <w:b/>
                <w:i w:val="0"/>
                <w:color w:val="C9A227"/>
                <w:sz w:val="15"/>
              </w:rPr>
              <w:t>REFERENCE</w:t>
            </w:r>
          </w:p>
        </w:tc>
        <w:tc>
          <w:tcPr>
            <w:tcW w:type="dxa" w:w="2448"/>
            <w:shd w:val="clear" w:color="auto" w:fill="142B4A"/>
          </w:tcPr>
          <w:p>
            <w:pPr>
              <w:spacing w:after="0" w:before="0"/>
            </w:pPr>
            <w:r/>
            <w:r>
              <w:rPr>
                <w:rFonts w:ascii="Calibri" w:hAnsi="Calibri"/>
                <w:b/>
                <w:i w:val="0"/>
                <w:color w:val="C9A227"/>
                <w:sz w:val="15"/>
              </w:rPr>
              <w:t>TYPE</w:t>
            </w:r>
          </w:p>
        </w:tc>
        <w:tc>
          <w:tcPr>
            <w:tcW w:type="dxa" w:w="1296"/>
            <w:shd w:val="clear" w:color="auto" w:fill="142B4A"/>
          </w:tcPr>
          <w:p>
            <w:pPr>
              <w:spacing w:after="0" w:before="0"/>
            </w:pPr>
            <w:r/>
            <w:r>
              <w:rPr>
                <w:rFonts w:ascii="Calibri" w:hAnsi="Calibri"/>
                <w:b/>
                <w:i w:val="0"/>
                <w:color w:val="C9A227"/>
                <w:sz w:val="15"/>
              </w:rPr>
              <w:t>PUBLICATION DATE</w:t>
            </w:r>
          </w:p>
        </w:tc>
        <w:tc>
          <w:tcPr>
            <w:tcW w:type="dxa" w:w="2448"/>
            <w:shd w:val="clear" w:color="auto" w:fill="142B4A"/>
          </w:tcPr>
          <w:p>
            <w:pPr>
              <w:spacing w:after="0" w:before="0"/>
            </w:pPr>
            <w:r/>
            <w:r>
              <w:rPr>
                <w:rFonts w:ascii="Calibri" w:hAnsi="Calibri"/>
                <w:b/>
                <w:i w:val="0"/>
                <w:color w:val="C9A227"/>
                <w:sz w:val="15"/>
              </w:rPr>
              <w:t>RELATIVE TO 2012-12-18</w:t>
            </w:r>
          </w:p>
        </w:tc>
        <w:tc>
          <w:tcPr>
            <w:tcW w:type="dxa" w:w="2736"/>
            <w:shd w:val="clear" w:color="auto" w:fill="142B4A"/>
          </w:tcPr>
          <w:p>
            <w:pPr>
              <w:spacing w:after="0" w:before="0"/>
            </w:pPr>
            <w:r/>
            <w:r>
              <w:rPr>
                <w:rFonts w:ascii="Calibri" w:hAnsi="Calibri"/>
                <w:b/>
                <w:i w:val="0"/>
                <w:color w:val="C9A227"/>
                <w:sz w:val="15"/>
              </w:rPr>
              <w:t>ROLE</w:t>
            </w:r>
          </w:p>
        </w:tc>
      </w:tr>
      <w:tr>
        <w:tc>
          <w:tcPr>
            <w:tcW w:type="dxa" w:w="1728"/>
          </w:tcPr>
          <w:p>
            <w:pPr>
              <w:spacing w:after="0" w:before="0"/>
            </w:pPr>
            <w:r/>
            <w:r>
              <w:rPr>
                <w:rFonts w:ascii="Calibri" w:hAnsi="Calibri"/>
                <w:b/>
                <w:i w:val="0"/>
                <w:color w:val="142B4A"/>
                <w:sz w:val="16"/>
              </w:rPr>
              <w:t>NCT:NCT01218789 (ClinicalTrials.gov 2010)</w:t>
            </w:r>
          </w:p>
        </w:tc>
        <w:tc>
          <w:tcPr>
            <w:tcW w:type="dxa" w:w="2448"/>
          </w:tcPr>
          <w:p>
            <w:pPr>
              <w:spacing w:after="0" w:before="0"/>
            </w:pPr>
            <w:r/>
            <w:r>
              <w:rPr>
                <w:rFonts w:ascii="Calibri" w:hAnsi="Calibri"/>
                <w:b w:val="0"/>
                <w:i w:val="0"/>
                <w:sz w:val="16"/>
              </w:rPr>
              <w:t>Literature · ClinicalTrials.gov</w:t>
            </w:r>
          </w:p>
        </w:tc>
        <w:tc>
          <w:tcPr>
            <w:tcW w:type="dxa" w:w="1296"/>
          </w:tcPr>
          <w:p>
            <w:pPr>
              <w:spacing w:after="0" w:before="0"/>
            </w:pPr>
            <w:r/>
            <w:r>
              <w:rPr>
                <w:rFonts w:ascii="Calibri" w:hAnsi="Calibri"/>
                <w:b w:val="0"/>
                <w:i w:val="0"/>
                <w:sz w:val="16"/>
              </w:rPr>
              <w:t>2010-10-11</w:t>
            </w:r>
          </w:p>
        </w:tc>
        <w:tc>
          <w:tcPr>
            <w:tcW w:type="dxa" w:w="2448"/>
          </w:tcPr>
          <w:p>
            <w:pPr>
              <w:spacing w:after="0" w:before="0"/>
            </w:pPr>
            <w:r/>
            <w:r>
              <w:rPr>
                <w:rFonts w:ascii="Calibri" w:hAnsi="Calibri"/>
                <w:b w:val="0"/>
                <w:i w:val="0"/>
                <w:sz w:val="16"/>
              </w:rPr>
              <w:t>PRIOR ART · published before the subject's priority date</w:t>
            </w:r>
          </w:p>
        </w:tc>
        <w:tc>
          <w:tcPr>
            <w:tcW w:type="dxa" w:w="2736"/>
          </w:tcPr>
          <w:p>
            <w:pPr>
              <w:spacing w:after="0" w:before="0"/>
            </w:pPr>
            <w:r/>
            <w:r>
              <w:rPr>
                <w:rFonts w:ascii="Calibri" w:hAnsi="Calibri"/>
                <w:b w:val="0"/>
                <w:i w:val="0"/>
                <w:sz w:val="16"/>
              </w:rPr>
              <w:t>best: primary — c2.L1.a1, c3.L1.a1, c4.L2.a1; alt 1: primary — c3.L1.a1; alt 2: primary — c2.L1.a1, c3.L1.a1 · abstract (screening grade)</w:t>
            </w:r>
          </w:p>
        </w:tc>
      </w:tr>
      <w:tr>
        <w:tc>
          <w:tcPr>
            <w:tcW w:type="dxa" w:w="1728"/>
            <w:shd w:val="clear" w:color="auto" w:fill="F4F6FA"/>
          </w:tcPr>
          <w:p>
            <w:pPr>
              <w:spacing w:after="0" w:before="0"/>
            </w:pPr>
            <w:r/>
            <w:r>
              <w:rPr>
                <w:rFonts w:ascii="Calibri" w:hAnsi="Calibri"/>
                <w:b/>
                <w:i w:val="0"/>
                <w:color w:val="142B4A"/>
                <w:sz w:val="16"/>
              </w:rPr>
              <w:t>EP2308491B1 (Bradford et al.)</w:t>
            </w:r>
          </w:p>
        </w:tc>
        <w:tc>
          <w:tcPr>
            <w:tcW w:type="dxa" w:w="2448"/>
            <w:shd w:val="clear" w:color="auto" w:fill="F4F6FA"/>
          </w:tcPr>
          <w:p>
            <w:pPr>
              <w:spacing w:after="0" w:before="0"/>
            </w:pPr>
            <w:r/>
            <w:r>
              <w:rPr>
                <w:rFonts w:ascii="Calibri" w:hAnsi="Calibri"/>
                <w:b w:val="0"/>
                <w:i w:val="0"/>
                <w:sz w:val="16"/>
              </w:rPr>
              <w:t>Patent</w:t>
            </w:r>
          </w:p>
        </w:tc>
        <w:tc>
          <w:tcPr>
            <w:tcW w:type="dxa" w:w="1296"/>
            <w:shd w:val="clear" w:color="auto" w:fill="F4F6FA"/>
          </w:tcPr>
          <w:p>
            <w:pPr>
              <w:spacing w:after="0" w:before="0"/>
            </w:pPr>
            <w:r/>
            <w:r>
              <w:rPr>
                <w:rFonts w:ascii="Calibri" w:hAnsi="Calibri"/>
                <w:b w:val="0"/>
                <w:i w:val="0"/>
                <w:sz w:val="16"/>
              </w:rPr>
              <w:t>2011-09-07</w:t>
            </w:r>
          </w:p>
        </w:tc>
        <w:tc>
          <w:tcPr>
            <w:tcW w:type="dxa" w:w="2448"/>
            <w:shd w:val="clear" w:color="auto" w:fill="F4F6FA"/>
          </w:tcPr>
          <w:p>
            <w:pPr>
              <w:spacing w:after="0" w:before="0"/>
            </w:pPr>
            <w:r/>
            <w:r>
              <w:rPr>
                <w:rFonts w:ascii="Calibri" w:hAnsi="Calibri"/>
                <w:b w:val="0"/>
                <w:i w:val="0"/>
                <w:sz w:val="16"/>
              </w:rPr>
              <w:t>PRIOR ART · published before the subject's priority date</w:t>
            </w:r>
          </w:p>
        </w:tc>
        <w:tc>
          <w:tcPr>
            <w:tcW w:type="dxa" w:w="2736"/>
            <w:shd w:val="clear" w:color="auto" w:fill="F4F6FA"/>
          </w:tcPr>
          <w:p>
            <w:pPr>
              <w:spacing w:after="0" w:before="0"/>
            </w:pPr>
            <w:r/>
            <w:r>
              <w:rPr>
                <w:rFonts w:ascii="Calibri" w:hAnsi="Calibri"/>
                <w:b w:val="0"/>
                <w:i w:val="0"/>
                <w:sz w:val="16"/>
              </w:rPr>
              <w:t>best: secondary — c1.L1.a2; alt 1: secondary — c1.L1.a2; alt 2: secondary — c1.L1.a2</w:t>
            </w:r>
          </w:p>
        </w:tc>
      </w:tr>
      <w:tr>
        <w:tc>
          <w:tcPr>
            <w:tcW w:type="dxa" w:w="1728"/>
          </w:tcPr>
          <w:p>
            <w:pPr>
              <w:spacing w:after="0" w:before="0"/>
            </w:pPr>
            <w:r/>
            <w:r>
              <w:rPr>
                <w:rFonts w:ascii="Calibri" w:hAnsi="Calibri"/>
                <w:b/>
                <w:i w:val="0"/>
                <w:color w:val="142B4A"/>
                <w:sz w:val="16"/>
              </w:rPr>
              <w:t>US20040044064A1 (Lewy et al.)</w:t>
            </w:r>
          </w:p>
        </w:tc>
        <w:tc>
          <w:tcPr>
            <w:tcW w:type="dxa" w:w="2448"/>
          </w:tcPr>
          <w:p>
            <w:pPr>
              <w:spacing w:after="0" w:before="0"/>
            </w:pPr>
            <w:r/>
            <w:r>
              <w:rPr>
                <w:rFonts w:ascii="Calibri" w:hAnsi="Calibri"/>
                <w:b w:val="0"/>
                <w:i w:val="0"/>
                <w:sz w:val="16"/>
              </w:rPr>
              <w:t>Patent</w:t>
            </w:r>
          </w:p>
        </w:tc>
        <w:tc>
          <w:tcPr>
            <w:tcW w:type="dxa" w:w="1296"/>
          </w:tcPr>
          <w:p>
            <w:pPr>
              <w:spacing w:after="0" w:before="0"/>
            </w:pPr>
            <w:r/>
            <w:r>
              <w:rPr>
                <w:rFonts w:ascii="Calibri" w:hAnsi="Calibri"/>
                <w:b w:val="0"/>
                <w:i w:val="0"/>
                <w:sz w:val="16"/>
              </w:rPr>
              <w:t>2004-03-04</w:t>
            </w:r>
          </w:p>
        </w:tc>
        <w:tc>
          <w:tcPr>
            <w:tcW w:type="dxa" w:w="2448"/>
          </w:tcPr>
          <w:p>
            <w:pPr>
              <w:spacing w:after="0" w:before="0"/>
            </w:pPr>
            <w:r/>
            <w:r>
              <w:rPr>
                <w:rFonts w:ascii="Calibri" w:hAnsi="Calibri"/>
                <w:b w:val="0"/>
                <w:i w:val="0"/>
                <w:sz w:val="16"/>
              </w:rPr>
              <w:t>PRIOR ART · published before the subject's priority date</w:t>
            </w:r>
          </w:p>
        </w:tc>
        <w:tc>
          <w:tcPr>
            <w:tcW w:type="dxa" w:w="2736"/>
          </w:tcPr>
          <w:p>
            <w:pPr>
              <w:spacing w:after="0" w:before="0"/>
            </w:pPr>
            <w:r/>
            <w:r>
              <w:rPr>
                <w:rFonts w:ascii="Calibri" w:hAnsi="Calibri"/>
                <w:b w:val="0"/>
                <w:i w:val="0"/>
                <w:sz w:val="16"/>
              </w:rPr>
              <w:t>best: secondary — c1.L1.a1</w:t>
            </w:r>
          </w:p>
        </w:tc>
      </w:tr>
      <w:tr>
        <w:tc>
          <w:tcPr>
            <w:tcW w:type="dxa" w:w="1728"/>
            <w:shd w:val="clear" w:color="auto" w:fill="F4F6FA"/>
          </w:tcPr>
          <w:p>
            <w:pPr>
              <w:spacing w:after="0" w:before="0"/>
            </w:pPr>
            <w:r/>
            <w:r>
              <w:rPr>
                <w:rFonts w:ascii="Calibri" w:hAnsi="Calibri"/>
                <w:b/>
                <w:i w:val="0"/>
                <w:color w:val="142B4A"/>
                <w:sz w:val="16"/>
              </w:rPr>
              <w:t>US20100056622A1 (Lauterbach)</w:t>
            </w:r>
          </w:p>
        </w:tc>
        <w:tc>
          <w:tcPr>
            <w:tcW w:type="dxa" w:w="2448"/>
            <w:shd w:val="clear" w:color="auto" w:fill="F4F6FA"/>
          </w:tcPr>
          <w:p>
            <w:pPr>
              <w:spacing w:after="0" w:before="0"/>
            </w:pPr>
            <w:r/>
            <w:r>
              <w:rPr>
                <w:rFonts w:ascii="Calibri" w:hAnsi="Calibri"/>
                <w:b w:val="0"/>
                <w:i w:val="0"/>
                <w:sz w:val="16"/>
              </w:rPr>
              <w:t>Patent</w:t>
            </w:r>
          </w:p>
        </w:tc>
        <w:tc>
          <w:tcPr>
            <w:tcW w:type="dxa" w:w="1296"/>
            <w:shd w:val="clear" w:color="auto" w:fill="F4F6FA"/>
          </w:tcPr>
          <w:p>
            <w:pPr>
              <w:spacing w:after="0" w:before="0"/>
            </w:pPr>
            <w:r/>
            <w:r>
              <w:rPr>
                <w:rFonts w:ascii="Calibri" w:hAnsi="Calibri"/>
                <w:b w:val="0"/>
                <w:i w:val="0"/>
                <w:sz w:val="16"/>
              </w:rPr>
              <w:t>2010-03-04</w:t>
            </w:r>
          </w:p>
        </w:tc>
        <w:tc>
          <w:tcPr>
            <w:tcW w:type="dxa" w:w="2448"/>
            <w:shd w:val="clear" w:color="auto" w:fill="F4F6FA"/>
          </w:tcPr>
          <w:p>
            <w:pPr>
              <w:spacing w:after="0" w:before="0"/>
            </w:pPr>
            <w:r/>
            <w:r>
              <w:rPr>
                <w:rFonts w:ascii="Calibri" w:hAnsi="Calibri"/>
                <w:b w:val="0"/>
                <w:i w:val="0"/>
                <w:sz w:val="16"/>
              </w:rPr>
              <w:t>PRIOR ART · published before the subject's priority date</w:t>
            </w:r>
          </w:p>
        </w:tc>
        <w:tc>
          <w:tcPr>
            <w:tcW w:type="dxa" w:w="2736"/>
            <w:shd w:val="clear" w:color="auto" w:fill="F4F6FA"/>
          </w:tcPr>
          <w:p>
            <w:pPr>
              <w:spacing w:after="0" w:before="0"/>
            </w:pPr>
            <w:r/>
            <w:r>
              <w:rPr>
                <w:rFonts w:ascii="Calibri" w:hAnsi="Calibri"/>
                <w:b w:val="0"/>
                <w:i w:val="0"/>
                <w:sz w:val="16"/>
              </w:rPr>
              <w:t>best: secondary — c1.L2.a1; alt 1: secondary — c1.L2.a1; alt 2: secondary — c1.L2.a1</w:t>
            </w:r>
          </w:p>
        </w:tc>
      </w:tr>
      <w:tr>
        <w:tc>
          <w:tcPr>
            <w:tcW w:type="dxa" w:w="1728"/>
          </w:tcPr>
          <w:p>
            <w:pPr>
              <w:spacing w:after="0" w:before="0"/>
            </w:pPr>
            <w:r/>
            <w:r>
              <w:rPr>
                <w:rFonts w:ascii="Calibri" w:hAnsi="Calibri"/>
                <w:b/>
                <w:i w:val="0"/>
                <w:color w:val="142B4A"/>
                <w:sz w:val="16"/>
              </w:rPr>
              <w:t>NCT:NCT01430754 (ClinicalTrials.gov 2011)</w:t>
            </w:r>
          </w:p>
        </w:tc>
        <w:tc>
          <w:tcPr>
            <w:tcW w:type="dxa" w:w="2448"/>
          </w:tcPr>
          <w:p>
            <w:pPr>
              <w:spacing w:after="0" w:before="0"/>
            </w:pPr>
            <w:r/>
            <w:r>
              <w:rPr>
                <w:rFonts w:ascii="Calibri" w:hAnsi="Calibri"/>
                <w:b w:val="0"/>
                <w:i w:val="0"/>
                <w:sz w:val="16"/>
              </w:rPr>
              <w:t>Literature · ClinicalTrials.gov</w:t>
            </w:r>
          </w:p>
        </w:tc>
        <w:tc>
          <w:tcPr>
            <w:tcW w:type="dxa" w:w="1296"/>
          </w:tcPr>
          <w:p>
            <w:pPr>
              <w:spacing w:after="0" w:before="0"/>
            </w:pPr>
            <w:r/>
            <w:r>
              <w:rPr>
                <w:rFonts w:ascii="Calibri" w:hAnsi="Calibri"/>
                <w:b w:val="0"/>
                <w:i w:val="0"/>
                <w:sz w:val="16"/>
              </w:rPr>
              <w:t>2011-09-08</w:t>
            </w:r>
          </w:p>
        </w:tc>
        <w:tc>
          <w:tcPr>
            <w:tcW w:type="dxa" w:w="2448"/>
          </w:tcPr>
          <w:p>
            <w:pPr>
              <w:spacing w:after="0" w:before="0"/>
            </w:pPr>
            <w:r/>
            <w:r>
              <w:rPr>
                <w:rFonts w:ascii="Calibri" w:hAnsi="Calibri"/>
                <w:b w:val="0"/>
                <w:i w:val="0"/>
                <w:sz w:val="16"/>
              </w:rPr>
              <w:t>PRIOR ART · published before the subject's priority date</w:t>
            </w:r>
          </w:p>
        </w:tc>
        <w:tc>
          <w:tcPr>
            <w:tcW w:type="dxa" w:w="2736"/>
          </w:tcPr>
          <w:p>
            <w:pPr>
              <w:spacing w:after="0" w:before="0"/>
            </w:pPr>
            <w:r/>
            <w:r>
              <w:rPr>
                <w:rFonts w:ascii="Calibri" w:hAnsi="Calibri"/>
                <w:b w:val="0"/>
                <w:i w:val="0"/>
                <w:sz w:val="16"/>
              </w:rPr>
              <w:t>alt 1: secondary — c1.L1.a1 · abstract (screening grade)</w:t>
            </w:r>
          </w:p>
        </w:tc>
      </w:tr>
      <w:tr>
        <w:tc>
          <w:tcPr>
            <w:tcW w:type="dxa" w:w="1728"/>
            <w:shd w:val="clear" w:color="auto" w:fill="F4F6FA"/>
          </w:tcPr>
          <w:p>
            <w:pPr>
              <w:spacing w:after="0" w:before="0"/>
            </w:pPr>
            <w:r/>
            <w:r>
              <w:rPr>
                <w:rFonts w:ascii="Calibri" w:hAnsi="Calibri"/>
                <w:b/>
                <w:i w:val="0"/>
                <w:color w:val="142B4A"/>
                <w:sz w:val="16"/>
              </w:rPr>
              <w:t>PMID:19054552 (Rajaratnam et al. 2009)</w:t>
            </w:r>
          </w:p>
        </w:tc>
        <w:tc>
          <w:tcPr>
            <w:tcW w:type="dxa" w:w="2448"/>
            <w:shd w:val="clear" w:color="auto" w:fill="F4F6FA"/>
          </w:tcPr>
          <w:p>
            <w:pPr>
              <w:spacing w:after="0" w:before="0"/>
            </w:pPr>
            <w:r/>
            <w:r>
              <w:rPr>
                <w:rFonts w:ascii="Calibri" w:hAnsi="Calibri"/>
                <w:b w:val="0"/>
                <w:i w:val="0"/>
                <w:sz w:val="16"/>
              </w:rPr>
              <w:t>Literature · Europe PMC · Lancet</w:t>
            </w:r>
          </w:p>
        </w:tc>
        <w:tc>
          <w:tcPr>
            <w:tcW w:type="dxa" w:w="1296"/>
            <w:shd w:val="clear" w:color="auto" w:fill="F4F6FA"/>
          </w:tcPr>
          <w:p>
            <w:pPr>
              <w:spacing w:after="0" w:before="0"/>
            </w:pPr>
            <w:r/>
            <w:r>
              <w:rPr>
                <w:rFonts w:ascii="Calibri" w:hAnsi="Calibri"/>
                <w:b w:val="0"/>
                <w:i w:val="0"/>
                <w:sz w:val="16"/>
              </w:rPr>
              <w:t>2008-12-04</w:t>
            </w:r>
          </w:p>
        </w:tc>
        <w:tc>
          <w:tcPr>
            <w:tcW w:type="dxa" w:w="2448"/>
            <w:shd w:val="clear" w:color="auto" w:fill="F4F6FA"/>
          </w:tcPr>
          <w:p>
            <w:pPr>
              <w:spacing w:after="0" w:before="0"/>
            </w:pPr>
            <w:r/>
            <w:r>
              <w:rPr>
                <w:rFonts w:ascii="Calibri" w:hAnsi="Calibri"/>
                <w:b w:val="0"/>
                <w:i w:val="0"/>
                <w:sz w:val="16"/>
              </w:rPr>
              <w:t>PRIOR ART · published before the subject's priority date</w:t>
            </w:r>
          </w:p>
        </w:tc>
        <w:tc>
          <w:tcPr>
            <w:tcW w:type="dxa" w:w="2736"/>
            <w:shd w:val="clear" w:color="auto" w:fill="F4F6FA"/>
          </w:tcPr>
          <w:p>
            <w:pPr>
              <w:spacing w:after="0" w:before="0"/>
            </w:pPr>
            <w:r/>
            <w:r>
              <w:rPr>
                <w:rFonts w:ascii="Calibri" w:hAnsi="Calibri"/>
                <w:b w:val="0"/>
                <w:i w:val="0"/>
                <w:sz w:val="16"/>
              </w:rPr>
              <w:t>alt 2: secondary — c1.L1.a1 · abstract (screening grade)</w:t>
            </w:r>
          </w:p>
        </w:tc>
      </w:tr>
    </w:tbl>
    <w:p>
      <w:pPr>
        <w:spacing w:after="40" w:before="0"/>
      </w:pPr>
    </w:p>
    <w:p>
      <w:pPr>
        <w:keepNext/>
        <w:spacing w:before="240" w:after="60"/>
        <w:pBdr>
          <w:bottom w:val="single" w:sz="4" w:color="C9A227"/>
        </w:pBdr>
      </w:pPr>
      <w:r>
        <w:rPr>
          <w:rFonts w:ascii="Calibri Light" w:hAnsi="Calibri Light"/>
          <w:b/>
          <w:i w:val="0"/>
          <w:color w:val="C9A227"/>
          <w:sz w:val="30"/>
        </w:rPr>
        <w:t xml:space="preserve">08  </w:t>
      </w:r>
      <w:r>
        <w:rPr>
          <w:rFonts w:ascii="Calibri Light" w:hAnsi="Calibri Light"/>
          <w:b w:val="0"/>
          <w:i w:val="0"/>
          <w:color w:val="142B4A"/>
          <w:sz w:val="30"/>
        </w:rPr>
        <w:t>Method and caveats</w:t>
      </w:r>
    </w:p>
    <w:p>
      <w:pPr>
        <w:spacing w:after="80" w:before="0"/>
      </w:pPr>
      <w:r>
        <w:rPr>
          <w:rFonts w:ascii="Calibri" w:hAnsi="Calibri"/>
          <w:b/>
          <w:i w:val="0"/>
          <w:color w:val="142B4A"/>
          <w:sz w:val="19"/>
        </w:rPr>
        <w:t xml:space="preserve">Gap cycle.  </w:t>
      </w:r>
      <w:r>
        <w:rPr>
          <w:rFonts w:ascii="Calibri" w:hAnsi="Calibri"/>
          <w:b w:val="0"/>
          <w:i w:val="0"/>
          <w:sz w:val="19"/>
        </w:rPr>
        <w:t>This cycle asked Lens only the questions that could change the open cells: 24 lane(s) (23 answered from the campaign's lane cache, 25 fetched), 1,832 record(s) returned, 774 new to the campaign, 120 admitted to the universe beside 81 carried reference(s). Pool retrieval, embedding and per-candidate analysis are those of the base record (job b904c0d9); the ledger, gate, set cover and gap fill ran afresh.</w:t>
      </w:r>
    </w:p>
    <w:p>
      <w:pPr>
        <w:spacing w:after="80" w:before="0"/>
      </w:pPr>
      <w:r>
        <w:rPr>
          <w:rFonts w:ascii="Calibri" w:hAnsi="Calibri"/>
          <w:b/>
          <w:i w:val="0"/>
          <w:color w:val="142B4A"/>
          <w:sz w:val="19"/>
        </w:rPr>
        <w:t xml:space="preserve">Pipeline.  </w:t>
      </w:r>
      <w:r>
        <w:rPr>
          <w:rFonts w:ascii="Calibri" w:hAnsi="Calibri"/>
          <w:b w:val="0"/>
          <w:i w:val="0"/>
          <w:sz w:val="19"/>
        </w:rPr>
        <w:t>IPVectors native lane, campaign cycle 3; patent retrieval (1,000 baseline patent records, 3 map-added territory lanes, 4 gap-targeted lanes on the open limitation's own phrases, 5 citing patents by literature hop, 9 limitation-vocabulary lanes across the whole index (78 records returned)); composite scoring and priority-date gate; patent-domain sentence embedding; per-candidate analysis; then the §103 stage (limitation ledger, per-limitation grading, eligibility gate, weighted set cover, gap fill). Wall time 18 min 17 s.</w:t>
      </w:r>
    </w:p>
    <w:p>
      <w:pPr>
        <w:spacing w:after="80" w:before="0"/>
      </w:pPr>
      <w:r>
        <w:rPr>
          <w:rFonts w:ascii="Calibri" w:hAnsi="Calibri"/>
          <w:b/>
          <w:i w:val="0"/>
          <w:color w:val="142B4A"/>
          <w:sz w:val="19"/>
        </w:rPr>
        <w:t xml:space="preserve">Grading.  </w:t>
      </w:r>
      <w:r>
        <w:rPr>
          <w:rFonts w:ascii="Calibri" w:hAnsi="Calibri"/>
          <w:b w:val="0"/>
          <w:i w:val="0"/>
          <w:sz w:val="19"/>
        </w:rPr>
        <w:t>One grading call per reference over the full ledger; six-state rubric (EXPLICIT 1.0 · PARTIAL 0.5 · FUNCTIONAL / STRUCTURAL INFERENCE 0.35 · AMBIGUOUS 0.15 · NOT FOUND 0); grader: frontier model (identified in delivered reports); conventions fixed in the cache key; quotes verified by exact then token-overlap match; untraceable quotes demoted one band and flagged. No numeric confidence is recorded.</w:t>
      </w:r>
    </w:p>
    <w:p>
      <w:pPr>
        <w:spacing w:after="80" w:before="0"/>
      </w:pPr>
      <w:r>
        <w:rPr>
          <w:rFonts w:ascii="Calibri" w:hAnsi="Calibri"/>
          <w:b/>
          <w:i w:val="0"/>
          <w:color w:val="142B4A"/>
          <w:sz w:val="19"/>
        </w:rPr>
        <w:t xml:space="preserve">Eligibility.  </w:t>
      </w:r>
      <w:r>
        <w:rPr>
          <w:rFonts w:ascii="Calibri" w:hAnsi="Calibri"/>
          <w:b w:val="0"/>
          <w:i w:val="0"/>
          <w:sz w:val="19"/>
        </w:rPr>
        <w:t>Members must be published before priority or carry an earlier effective date; same-year literature without a day is BORDERLINE and not combined; commonly-owned references are context. Literature is admitted only when verified against an authoritative bibliographic record, text-bearing and date-clean, and its text basis is labelled on every cell.</w:t>
      </w:r>
    </w:p>
    <w:p>
      <w:pPr>
        <w:spacing w:after="80" w:before="0"/>
      </w:pPr>
      <w:r>
        <w:rPr>
          <w:rFonts w:ascii="Calibri" w:hAnsi="Calibri"/>
          <w:b/>
          <w:i w:val="0"/>
          <w:color w:val="142B4A"/>
          <w:sz w:val="19"/>
        </w:rPr>
        <w:t xml:space="preserve">Recomputability.  </w:t>
      </w:r>
      <w:r>
        <w:rPr>
          <w:rFonts w:ascii="Calibri" w:hAnsi="Calibri"/>
          <w:b w:val="0"/>
          <w:i w:val="0"/>
          <w:sz w:val="19"/>
        </w:rPr>
        <w:t>Every figure above is a function of the record whose fingerprint is sha256 b35436a43ace421e76238870…; tallies and the status label are recomputed by the schema's own validator on load.</w:t>
      </w:r>
    </w:p>
    <w:p>
      <w:pPr>
        <w:spacing w:after="80" w:before="0"/>
      </w:pPr>
      <w:r>
        <w:rPr>
          <w:rFonts w:ascii="Calibri" w:hAnsi="Calibri"/>
          <w:b/>
          <w:i w:val="0"/>
          <w:color w:val="142B4A"/>
          <w:sz w:val="19"/>
        </w:rPr>
        <w:t xml:space="preserve">Not a legal opinion.  </w:t>
      </w:r>
      <w:r>
        <w:rPr>
          <w:rFonts w:ascii="Calibri" w:hAnsi="Calibri"/>
          <w:b w:val="0"/>
          <w:i w:val="0"/>
          <w:sz w:val="19"/>
        </w:rPr>
        <w:t>No weighing of motivation evidence, no secondary considerations, no claim construction. Whether any claim is obvious is reserved to counsel.</w:t>
      </w:r>
    </w:p>
    <w:p>
      <w:pPr>
        <w:pBdr>
          <w:bottom w:val="single" w:sz="12" w:color="C9A227"/>
        </w:pBdr>
        <w:spacing w:after="80" w:before="0"/>
      </w:pPr>
    </w:p>
    <w:p>
      <w:pPr>
        <w:spacing w:after="80" w:before="0"/>
      </w:pPr>
      <w:r>
        <w:rPr>
          <w:rFonts w:ascii="Calibri" w:hAnsi="Calibri"/>
          <w:b w:val="0"/>
          <w:i/>
          <w:color w:val="142B4A"/>
          <w:sz w:val="19"/>
        </w:rPr>
        <w:t>The sections that follow are the evidence this analysis relies on: the purchase doors with their measured value, the coverage matrix by source, and the purchased article itself. The row-level record behind every cell -- the full claim chart across every graded reference, and the per-limitation provenance strips -- is issued as a separate companion, the Provenance Appendix, which carries this same record fingerprint.</w:t>
      </w:r>
    </w:p>
    <w:p>
      <w:pPr>
        <w:keepNext/>
        <w:spacing w:before="240" w:after="60"/>
        <w:pBdr>
          <w:bottom w:val="single" w:sz="4" w:color="C9A227"/>
        </w:pBdr>
      </w:pPr>
      <w:r>
        <w:rPr>
          <w:rFonts w:ascii="Calibri Light" w:hAnsi="Calibri Light"/>
          <w:b/>
          <w:i w:val="0"/>
          <w:color w:val="C9A227"/>
          <w:sz w:val="30"/>
        </w:rPr>
        <w:t xml:space="preserve">09  </w:t>
      </w:r>
      <w:r>
        <w:rPr>
          <w:rFonts w:ascii="Calibri Light" w:hAnsi="Calibri Light"/>
          <w:b w:val="0"/>
          <w:i w:val="0"/>
          <w:color w:val="142B4A"/>
          <w:sz w:val="30"/>
        </w:rPr>
        <w:t>Recommended library papers — the doors to close the gaps</w:t>
      </w:r>
    </w:p>
    <w:p>
      <w:pPr>
        <w:spacing w:after="80" w:before="0"/>
      </w:pPr>
      <w:r>
        <w:rPr>
          <w:rFonts w:ascii="Calibri" w:hAnsi="Calibri"/>
          <w:b w:val="0"/>
          <w:i w:val="0"/>
          <w:color w:val="595959"/>
          <w:sz w:val="19"/>
        </w:rPr>
        <w:t>The decisive non-patent reference usually sits behind a publisher paywall in the field's own literature. This engine follows the citation trail to name, per open limitation, the specific paper most likely to disclose it — graded at screening strength against the limitation, with the publisher's own purchase link. The full text is the closing evidence, read by a person after purchase.</w:t>
      </w:r>
    </w:p>
    <w:p>
      <w:pPr>
        <w:spacing w:after="80" w:before="0"/>
      </w:pPr>
      <w:r>
        <w:rPr>
          <w:rFonts w:ascii="Calibri" w:hAnsi="Calibri"/>
          <w:b w:val="0"/>
          <w:i/>
          <w:color w:val="595959"/>
          <w:sz w:val="19"/>
        </w:rPr>
        <w:t>No purchase door was measured on this run (a clean-room run uses no stored purchase or reviewer work). From the run's own record, these are the papers already on file that a person should read next for each piece that is not closed, strongest first.</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152"/>
            <w:shd w:val="clear" w:color="auto" w:fill="142B4A"/>
          </w:tcPr>
          <w:p>
            <w:pPr>
              <w:spacing w:after="0" w:before="0"/>
            </w:pPr>
            <w:r/>
            <w:r>
              <w:rPr>
                <w:rFonts w:ascii="Calibri" w:hAnsi="Calibri"/>
                <w:b/>
                <w:i w:val="0"/>
                <w:color w:val="C9A227"/>
                <w:sz w:val="15"/>
              </w:rPr>
              <w:t>PIECE</w:t>
            </w:r>
          </w:p>
        </w:tc>
        <w:tc>
          <w:tcPr>
            <w:tcW w:type="dxa" w:w="1872"/>
            <w:shd w:val="clear" w:color="auto" w:fill="142B4A"/>
          </w:tcPr>
          <w:p>
            <w:pPr>
              <w:spacing w:after="0" w:before="0"/>
            </w:pPr>
            <w:r/>
            <w:r>
              <w:rPr>
                <w:rFonts w:ascii="Calibri" w:hAnsi="Calibri"/>
                <w:b/>
                <w:i w:val="0"/>
                <w:color w:val="C9A227"/>
                <w:sz w:val="15"/>
              </w:rPr>
              <w:t>PAPER</w:t>
            </w:r>
          </w:p>
        </w:tc>
        <w:tc>
          <w:tcPr>
            <w:tcW w:type="dxa" w:w="3744"/>
            <w:shd w:val="clear" w:color="auto" w:fill="142B4A"/>
          </w:tcPr>
          <w:p>
            <w:pPr>
              <w:spacing w:after="0" w:before="0"/>
            </w:pPr>
            <w:r/>
            <w:r>
              <w:rPr>
                <w:rFonts w:ascii="Calibri" w:hAnsi="Calibri"/>
                <w:b/>
                <w:i w:val="0"/>
                <w:color w:val="C9A227"/>
                <w:sz w:val="15"/>
              </w:rPr>
              <w:t>TITLE · DATE</w:t>
            </w:r>
          </w:p>
        </w:tc>
        <w:tc>
          <w:tcPr>
            <w:tcW w:type="dxa" w:w="1296"/>
            <w:shd w:val="clear" w:color="auto" w:fill="142B4A"/>
          </w:tcPr>
          <w:p>
            <w:pPr>
              <w:spacing w:after="0" w:before="0"/>
            </w:pPr>
            <w:r/>
            <w:r>
              <w:rPr>
                <w:rFonts w:ascii="Calibri" w:hAnsi="Calibri"/>
                <w:b/>
                <w:i w:val="0"/>
                <w:color w:val="C9A227"/>
                <w:sz w:val="15"/>
              </w:rPr>
              <w:t>GRADE</w:t>
            </w:r>
          </w:p>
        </w:tc>
        <w:tc>
          <w:tcPr>
            <w:tcW w:type="dxa" w:w="2016"/>
            <w:shd w:val="clear" w:color="auto" w:fill="142B4A"/>
          </w:tcPr>
          <w:p>
            <w:pPr>
              <w:spacing w:after="0" w:before="0"/>
            </w:pPr>
            <w:r/>
            <w:r>
              <w:rPr>
                <w:rFonts w:ascii="Calibri" w:hAnsi="Calibri"/>
                <w:b/>
                <w:i w:val="0"/>
                <w:color w:val="C9A227"/>
                <w:sz w:val="15"/>
              </w:rPr>
              <w:t>HOW IT BEARS ON THE PIECE</w:t>
            </w:r>
          </w:p>
        </w:tc>
      </w:tr>
      <w:tr>
        <w:tc>
          <w:tcPr>
            <w:tcW w:type="dxa" w:w="1152"/>
          </w:tcPr>
          <w:p>
            <w:pPr>
              <w:spacing w:after="0" w:before="0"/>
            </w:pPr>
            <w:r/>
            <w:r>
              <w:rPr>
                <w:rFonts w:ascii="Calibri" w:hAnsi="Calibri"/>
                <w:b w:val="0"/>
                <w:i w:val="0"/>
                <w:sz w:val="16"/>
              </w:rPr>
              <w:t>c1.L2.a1</w:t>
            </w:r>
          </w:p>
        </w:tc>
        <w:tc>
          <w:tcPr>
            <w:tcW w:type="dxa" w:w="1872"/>
          </w:tcPr>
          <w:p>
            <w:pPr>
              <w:spacing w:after="0" w:before="0"/>
            </w:pPr>
            <w:r/>
            <w:r>
              <w:rPr>
                <w:rFonts w:ascii="Calibri" w:hAnsi="Calibri"/>
                <w:b/>
                <w:i w:val="0"/>
                <w:color w:val="142B4A"/>
                <w:sz w:val="16"/>
              </w:rPr>
              <w:t>PMID:23616713 (Mets et al. 2010)</w:t>
            </w:r>
          </w:p>
        </w:tc>
        <w:tc>
          <w:tcPr>
            <w:tcW w:type="dxa" w:w="3744"/>
          </w:tcPr>
          <w:p>
            <w:pPr>
              <w:spacing w:after="0" w:before="0"/>
            </w:pPr>
            <w:r/>
            <w:r>
              <w:rPr>
                <w:rFonts w:ascii="Calibri" w:hAnsi="Calibri"/>
                <w:b w:val="0"/>
                <w:i w:val="0"/>
                <w:sz w:val="16"/>
              </w:rPr>
              <w:t>Critical appraisal of ramelteon in the treatment of insomnia · 2010-11-10</w:t>
            </w:r>
          </w:p>
        </w:tc>
        <w:tc>
          <w:tcPr>
            <w:tcW w:type="dxa" w:w="1296"/>
          </w:tcPr>
          <w:p>
            <w:pPr>
              <w:spacing w:after="0" w:before="0"/>
            </w:pPr>
            <w:r/>
            <w:r>
              <w:rPr>
                <w:rFonts w:ascii="Calibri" w:hAnsi="Calibri"/>
                <w:b w:val="0"/>
                <w:i w:val="0"/>
                <w:sz w:val="16"/>
              </w:rPr>
              <w:t>similar-drug teaching</w:t>
            </w:r>
          </w:p>
        </w:tc>
        <w:tc>
          <w:tcPr>
            <w:tcW w:type="dxa" w:w="2016"/>
          </w:tcPr>
          <w:p>
            <w:pPr>
              <w:spacing w:after="0" w:before="0"/>
            </w:pPr>
            <w:r/>
            <w:r>
              <w:rPr>
                <w:rFonts w:ascii="Calibri" w:hAnsi="Calibri"/>
                <w:b w:val="0"/>
                <w:i w:val="0"/>
                <w:sz w:val="16"/>
              </w:rPr>
              <w:t>by analogy (similar drug)</w:t>
            </w:r>
          </w:p>
        </w:tc>
      </w:tr>
      <w:tr>
        <w:tc>
          <w:tcPr>
            <w:tcW w:type="dxa" w:w="1152"/>
            <w:shd w:val="clear" w:color="auto" w:fill="F4F6FA"/>
          </w:tcPr>
          <w:p>
            <w:pPr>
              <w:spacing w:after="0" w:before="0"/>
            </w:pPr>
            <w:r/>
            <w:r>
              <w:rPr>
                <w:rFonts w:ascii="Calibri" w:hAnsi="Calibri"/>
                <w:b w:val="0"/>
                <w:i w:val="0"/>
                <w:sz w:val="16"/>
              </w:rPr>
              <w:t>c1.L2.a1</w:t>
            </w:r>
          </w:p>
        </w:tc>
        <w:tc>
          <w:tcPr>
            <w:tcW w:type="dxa" w:w="1872"/>
            <w:shd w:val="clear" w:color="auto" w:fill="F4F6FA"/>
          </w:tcPr>
          <w:p>
            <w:pPr>
              <w:spacing w:after="0" w:before="0"/>
            </w:pPr>
            <w:r/>
            <w:r>
              <w:rPr>
                <w:rFonts w:ascii="Calibri" w:hAnsi="Calibri"/>
                <w:b/>
                <w:i w:val="0"/>
                <w:color w:val="142B4A"/>
                <w:sz w:val="16"/>
              </w:rPr>
              <w:t>PMID:20945020 (Sukys-Claudino et al. 2010)</w:t>
            </w:r>
          </w:p>
        </w:tc>
        <w:tc>
          <w:tcPr>
            <w:tcW w:type="dxa" w:w="3744"/>
            <w:shd w:val="clear" w:color="auto" w:fill="F4F6FA"/>
          </w:tcPr>
          <w:p>
            <w:pPr>
              <w:spacing w:after="0" w:before="0"/>
            </w:pPr>
            <w:r/>
            <w:r>
              <w:rPr>
                <w:rFonts w:ascii="Calibri" w:hAnsi="Calibri"/>
                <w:b w:val="0"/>
                <w:i w:val="0"/>
                <w:sz w:val="16"/>
              </w:rPr>
              <w:t>Novos sedativos hipnóticos · 2010-09-01</w:t>
            </w:r>
          </w:p>
        </w:tc>
        <w:tc>
          <w:tcPr>
            <w:tcW w:type="dxa" w:w="1296"/>
            <w:shd w:val="clear" w:color="auto" w:fill="F4F6FA"/>
          </w:tcPr>
          <w:p>
            <w:pPr>
              <w:spacing w:after="0" w:before="0"/>
            </w:pPr>
            <w:r/>
            <w:r>
              <w:rPr>
                <w:rFonts w:ascii="Calibri" w:hAnsi="Calibri"/>
                <w:b w:val="0"/>
                <w:i w:val="0"/>
                <w:sz w:val="16"/>
              </w:rPr>
              <w:t>similar-drug teaching</w:t>
            </w:r>
          </w:p>
        </w:tc>
        <w:tc>
          <w:tcPr>
            <w:tcW w:type="dxa" w:w="2016"/>
            <w:shd w:val="clear" w:color="auto" w:fill="F4F6FA"/>
          </w:tcPr>
          <w:p>
            <w:pPr>
              <w:spacing w:after="0" w:before="0"/>
            </w:pPr>
            <w:r/>
            <w:r>
              <w:rPr>
                <w:rFonts w:ascii="Calibri" w:hAnsi="Calibri"/>
                <w:b w:val="0"/>
                <w:i w:val="0"/>
                <w:sz w:val="16"/>
              </w:rPr>
              <w:t>by analogy (similar drug)</w:t>
            </w:r>
          </w:p>
        </w:tc>
      </w:tr>
      <w:tr>
        <w:tc>
          <w:tcPr>
            <w:tcW w:type="dxa" w:w="1152"/>
          </w:tcPr>
          <w:p>
            <w:pPr>
              <w:spacing w:after="0" w:before="0"/>
            </w:pPr>
            <w:r/>
            <w:r>
              <w:rPr>
                <w:rFonts w:ascii="Calibri" w:hAnsi="Calibri"/>
                <w:b w:val="0"/>
                <w:i w:val="0"/>
                <w:sz w:val="16"/>
              </w:rPr>
              <w:t>c1.L2.a1</w:t>
            </w:r>
          </w:p>
        </w:tc>
        <w:tc>
          <w:tcPr>
            <w:tcW w:type="dxa" w:w="1872"/>
          </w:tcPr>
          <w:p>
            <w:pPr>
              <w:spacing w:after="0" w:before="0"/>
            </w:pPr>
            <w:r/>
            <w:r>
              <w:rPr>
                <w:rFonts w:ascii="Calibri" w:hAnsi="Calibri"/>
                <w:b/>
                <w:i w:val="0"/>
                <w:color w:val="142B4A"/>
                <w:sz w:val="16"/>
              </w:rPr>
              <w:t>DOI:10.3109/9781841847665-186 (2010)</w:t>
            </w:r>
          </w:p>
        </w:tc>
        <w:tc>
          <w:tcPr>
            <w:tcW w:type="dxa" w:w="3744"/>
          </w:tcPr>
          <w:p>
            <w:pPr>
              <w:spacing w:after="0" w:before="0"/>
            </w:pPr>
            <w:r/>
            <w:r>
              <w:rPr>
                <w:rFonts w:ascii="Calibri" w:hAnsi="Calibri"/>
                <w:b w:val="0"/>
                <w:i w:val="0"/>
                <w:sz w:val="16"/>
              </w:rPr>
              <w:t>RAMELTEON · 2010-02-15</w:t>
            </w:r>
          </w:p>
        </w:tc>
        <w:tc>
          <w:tcPr>
            <w:tcW w:type="dxa" w:w="1296"/>
          </w:tcPr>
          <w:p>
            <w:pPr>
              <w:spacing w:after="0" w:before="0"/>
            </w:pPr>
            <w:r/>
            <w:r>
              <w:rPr>
                <w:rFonts w:ascii="Calibri" w:hAnsi="Calibri"/>
                <w:b w:val="0"/>
                <w:i w:val="0"/>
                <w:sz w:val="16"/>
              </w:rPr>
              <w:t>similar-drug teaching</w:t>
            </w:r>
          </w:p>
        </w:tc>
        <w:tc>
          <w:tcPr>
            <w:tcW w:type="dxa" w:w="2016"/>
          </w:tcPr>
          <w:p>
            <w:pPr>
              <w:spacing w:after="0" w:before="0"/>
            </w:pPr>
            <w:r/>
            <w:r>
              <w:rPr>
                <w:rFonts w:ascii="Calibri" w:hAnsi="Calibri"/>
                <w:b w:val="0"/>
                <w:i w:val="0"/>
                <w:sz w:val="16"/>
              </w:rPr>
              <w:t>by analogy (similar drug)</w:t>
            </w:r>
          </w:p>
        </w:tc>
      </w:tr>
    </w:tbl>
    <w:p>
      <w:pPr>
        <w:spacing w:after="40" w:before="0"/>
      </w:pPr>
    </w:p>
    <w:p>
      <w:r>
        <w:br w:type="page"/>
      </w:r>
    </w:p>
    <w:p>
      <w:pPr>
        <w:keepNext/>
        <w:spacing w:before="240" w:after="60"/>
        <w:pBdr>
          <w:bottom w:val="single" w:sz="4" w:color="C9A227"/>
        </w:pBdr>
      </w:pPr>
      <w:r>
        <w:rPr>
          <w:rFonts w:ascii="Calibri Light" w:hAnsi="Calibri Light"/>
          <w:b/>
          <w:i w:val="0"/>
          <w:color w:val="C9A227"/>
          <w:sz w:val="30"/>
        </w:rPr>
        <w:t xml:space="preserve">10  </w:t>
      </w:r>
      <w:r>
        <w:rPr>
          <w:rFonts w:ascii="Calibri Light" w:hAnsi="Calibri Light"/>
          <w:b w:val="0"/>
          <w:i w:val="0"/>
          <w:color w:val="142B4A"/>
          <w:sz w:val="30"/>
        </w:rPr>
        <w:t>Coverage matrix — limitation × source</w:t>
      </w:r>
    </w:p>
    <w:tbl>
      <w:tblPr>
        <w:tblStyle w:val="TableGrid"/>
        <w:tblW w:type="auto" w:w="0"/>
        <w:tblLook w:firstColumn="1" w:firstRow="1" w:lastColumn="0" w:lastRow="0" w:noHBand="0" w:noVBand="1" w:val="04A0"/>
      </w:tblPr>
      <w:tblGrid>
        <w:gridCol w:w="804"/>
        <w:gridCol w:w="804"/>
        <w:gridCol w:w="804"/>
        <w:gridCol w:w="804"/>
        <w:gridCol w:w="804"/>
        <w:gridCol w:w="804"/>
        <w:gridCol w:w="804"/>
        <w:gridCol w:w="804"/>
        <w:gridCol w:w="804"/>
        <w:gridCol w:w="804"/>
        <w:gridCol w:w="804"/>
        <w:gridCol w:w="804"/>
      </w:tblGrid>
      <w:tr>
        <w:tc>
          <w:tcPr>
            <w:tcW w:type="dxa" w:w="804"/>
            <w:shd w:val="clear" w:color="auto" w:fill="142B4A"/>
          </w:tcPr>
          <w:p>
            <w:r>
              <w:rPr>
                <w:rFonts w:ascii="Calibri" w:hAnsi="Calibri"/>
                <w:b/>
                <w:i w:val="0"/>
                <w:color w:val="C9A227"/>
                <w:sz w:val="16"/>
              </w:rPr>
              <w:t>CLAIM LIMITATION</w:t>
            </w:r>
          </w:p>
        </w:tc>
        <w:tc>
          <w:tcPr>
            <w:tcW w:type="dxa" w:w="804"/>
            <w:shd w:val="clear" w:color="auto" w:fill="3E5A78"/>
          </w:tcPr>
          <w:p>
            <w:r>
              <w:rPr>
                <w:rFonts w:ascii="Calibri" w:hAnsi="Calibri"/>
                <w:b/>
                <w:i w:val="0"/>
                <w:color w:val="FFFFFF"/>
                <w:sz w:val="17"/>
              </w:rPr>
              <w:t>Examiner scope</w:t>
            </w:r>
          </w:p>
        </w:tc>
        <w:tc>
          <w:tcPr>
            <w:tcW w:type="dxa" w:w="804"/>
            <w:shd w:val="clear" w:color="auto" w:fill="8A6620"/>
          </w:tcPr>
          <w:p>
            <w:r>
              <w:rPr>
                <w:rFonts w:ascii="Calibri" w:hAnsi="Calibri"/>
                <w:b/>
                <w:i w:val="0"/>
                <w:color w:val="FFFFFF"/>
                <w:sz w:val="17"/>
              </w:rPr>
              <w:t>A61K31/*</w:t>
            </w:r>
          </w:p>
        </w:tc>
        <w:tc>
          <w:tcPr>
            <w:tcW w:type="dxa" w:w="804"/>
            <w:shd w:val="clear" w:color="auto" w:fill="8A6620"/>
          </w:tcPr>
          <w:p>
            <w:r>
              <w:rPr>
                <w:rFonts w:ascii="Calibri" w:hAnsi="Calibri"/>
                <w:b/>
                <w:i w:val="0"/>
                <w:color w:val="FFFFFF"/>
                <w:sz w:val="17"/>
              </w:rPr>
              <w:t>A61K9/*</w:t>
            </w:r>
          </w:p>
        </w:tc>
        <w:tc>
          <w:tcPr>
            <w:tcW w:type="dxa" w:w="804"/>
            <w:shd w:val="clear" w:color="auto" w:fill="8A6620"/>
          </w:tcPr>
          <w:p>
            <w:r>
              <w:rPr>
                <w:rFonts w:ascii="Calibri" w:hAnsi="Calibri"/>
                <w:b/>
                <w:i w:val="0"/>
                <w:color w:val="FFFFFF"/>
                <w:sz w:val="17"/>
              </w:rPr>
              <w:t>A61P31/*</w:t>
            </w:r>
          </w:p>
        </w:tc>
        <w:tc>
          <w:tcPr>
            <w:tcW w:type="dxa" w:w="804"/>
            <w:shd w:val="clear" w:color="auto" w:fill="8A6620"/>
          </w:tcPr>
          <w:p>
            <w:r>
              <w:rPr>
                <w:rFonts w:ascii="Calibri" w:hAnsi="Calibri"/>
                <w:b/>
                <w:i w:val="0"/>
                <w:color w:val="FFFFFF"/>
                <w:sz w:val="17"/>
              </w:rPr>
              <w:t>Literature (vocabulary lanes)</w:t>
            </w:r>
          </w:p>
        </w:tc>
        <w:tc>
          <w:tcPr>
            <w:tcW w:type="dxa" w:w="804"/>
            <w:shd w:val="clear" w:color="auto" w:fill="3E7A8E"/>
          </w:tcPr>
          <w:p>
            <w:r>
              <w:rPr>
                <w:rFonts w:ascii="Calibri" w:hAnsi="Calibri"/>
                <w:b/>
                <w:i w:val="0"/>
                <w:color w:val="FFFFFF"/>
                <w:sz w:val="17"/>
              </w:rPr>
              <w:t>ClinicalTrials.gov (literature)</w:t>
            </w:r>
          </w:p>
        </w:tc>
        <w:tc>
          <w:tcPr>
            <w:tcW w:type="dxa" w:w="804"/>
            <w:shd w:val="clear" w:color="auto" w:fill="3E7A8E"/>
          </w:tcPr>
          <w:p>
            <w:r>
              <w:rPr>
                <w:rFonts w:ascii="Calibri" w:hAnsi="Calibri"/>
                <w:b/>
                <w:i w:val="0"/>
                <w:color w:val="FFFFFF"/>
                <w:sz w:val="17"/>
              </w:rPr>
              <w:t>Drugs@FDA label (literature)</w:t>
            </w:r>
          </w:p>
        </w:tc>
        <w:tc>
          <w:tcPr>
            <w:tcW w:type="dxa" w:w="804"/>
            <w:shd w:val="clear" w:color="auto" w:fill="3E7A8E"/>
          </w:tcPr>
          <w:p>
            <w:r>
              <w:rPr>
                <w:rFonts w:ascii="Calibri" w:hAnsi="Calibri"/>
                <w:b/>
                <w:i w:val="0"/>
                <w:color w:val="FFFFFF"/>
                <w:sz w:val="17"/>
              </w:rPr>
              <w:t>Europe PMC (literature)</w:t>
            </w:r>
          </w:p>
        </w:tc>
        <w:tc>
          <w:tcPr>
            <w:tcW w:type="dxa" w:w="804"/>
            <w:shd w:val="clear" w:color="auto" w:fill="3E7A8E"/>
          </w:tcPr>
          <w:p>
            <w:r>
              <w:rPr>
                <w:rFonts w:ascii="Calibri" w:hAnsi="Calibri"/>
                <w:b/>
                <w:i w:val="0"/>
                <w:color w:val="FFFFFF"/>
                <w:sz w:val="17"/>
              </w:rPr>
              <w:t>OpenAlex (literature)</w:t>
            </w:r>
          </w:p>
        </w:tc>
        <w:tc>
          <w:tcPr>
            <w:tcW w:type="dxa" w:w="804"/>
            <w:shd w:val="clear" w:color="auto" w:fill="3E7A8E"/>
          </w:tcPr>
          <w:p>
            <w:r>
              <w:rPr>
                <w:rFonts w:ascii="Calibri" w:hAnsi="Calibri"/>
                <w:b/>
                <w:i w:val="0"/>
                <w:color w:val="FFFFFF"/>
                <w:sz w:val="17"/>
              </w:rPr>
              <w:t>PubMed (literature)</w:t>
            </w:r>
          </w:p>
        </w:tc>
        <w:tc>
          <w:tcPr>
            <w:tcW w:type="dxa" w:w="804"/>
            <w:shd w:val="clear" w:color="auto" w:fill="8A6620"/>
          </w:tcPr>
          <w:p>
            <w:r>
              <w:rPr>
                <w:rFonts w:ascii="Calibri" w:hAnsi="Calibri"/>
                <w:b/>
                <w:i w:val="0"/>
                <w:color w:val="FFFFFF"/>
                <w:sz w:val="17"/>
              </w:rPr>
              <w:t>Limitation vocabulary</w:t>
            </w:r>
          </w:p>
        </w:tc>
      </w:tr>
      <w:tr>
        <w:tc>
          <w:tcPr>
            <w:tcW w:type="dxa" w:w="804"/>
          </w:tcPr>
          <w:p>
            <w:pPr>
              <w:spacing w:after="0" w:before="0"/>
            </w:pPr>
            <w:r>
              <w:rPr>
                <w:rFonts w:ascii="Calibri" w:hAnsi="Calibri"/>
                <w:b/>
                <w:i w:val="0"/>
                <w:color w:val="142B4A"/>
                <w:sz w:val="15"/>
              </w:rPr>
              <w:t xml:space="preserve">c1.L1.a1  </w:t>
            </w:r>
            <w:r>
              <w:rPr>
                <w:rFonts w:ascii="Calibri" w:hAnsi="Calibri"/>
                <w:b w:val="0"/>
                <w:i w:val="0"/>
                <w:sz w:val="16"/>
              </w:rPr>
              <w:t>A method of treating a patient for a circadian rhythm disorder</w:t>
            </w:r>
          </w:p>
        </w:tc>
        <w:tc>
          <w:tcPr>
            <w:tcW w:type="dxa" w:w="804"/>
            <w:shd w:val="clear" w:color="auto" w:fill="3E7A8E"/>
          </w:tcPr>
          <w:p>
            <w:pPr>
              <w:spacing w:after="0" w:before="0"/>
            </w:pPr>
            <w:r>
              <w:rPr>
                <w:rFonts w:ascii="Calibri" w:hAnsi="Calibri"/>
                <w:b/>
                <w:i w:val="0"/>
                <w:color w:val="FFFFFF"/>
                <w:sz w:val="15"/>
              </w:rPr>
              <w:t>STRUCT. INF.</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3E7A8E"/>
          </w:tcPr>
          <w:p>
            <w:pPr>
              <w:spacing w:after="0" w:before="0"/>
            </w:pPr>
            <w:r>
              <w:rPr>
                <w:rFonts w:ascii="Calibri" w:hAnsi="Calibri"/>
                <w:b/>
                <w:i w:val="0"/>
                <w:color w:val="FFFFFF"/>
                <w:sz w:val="15"/>
              </w:rPr>
              <w:t>FUNC. INF.</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r>
      <w:tr>
        <w:tc>
          <w:tcPr>
            <w:tcW w:type="dxa" w:w="804"/>
          </w:tcPr>
          <w:p>
            <w:pPr>
              <w:spacing w:after="0" w:before="0"/>
            </w:pPr>
            <w:r>
              <w:rPr>
                <w:rFonts w:ascii="Calibri" w:hAnsi="Calibri"/>
                <w:b/>
                <w:i w:val="0"/>
                <w:color w:val="142B4A"/>
                <w:sz w:val="15"/>
              </w:rPr>
              <w:t xml:space="preserve">c1.L1.a2  </w:t>
            </w:r>
            <w:r>
              <w:rPr>
                <w:rFonts w:ascii="Calibri" w:hAnsi="Calibri"/>
                <w:b w:val="0"/>
                <w:i w:val="0"/>
                <w:sz w:val="16"/>
              </w:rPr>
              <w:t>wherein the patient is being treated with rifampicin</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3E7A8E"/>
          </w:tcPr>
          <w:p>
            <w:pPr>
              <w:spacing w:after="0" w:before="0"/>
            </w:pPr>
            <w:r>
              <w:rPr>
                <w:rFonts w:ascii="Calibri" w:hAnsi="Calibri"/>
                <w:b/>
                <w:i w:val="0"/>
                <w:color w:val="FFFFFF"/>
                <w:sz w:val="15"/>
              </w:rPr>
              <w:t>FUNC. INF.</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2E7D4F"/>
          </w:tcPr>
          <w:p>
            <w:pPr>
              <w:spacing w:after="0" w:before="0"/>
            </w:pPr>
            <w:r>
              <w:rPr>
                <w:rFonts w:ascii="Calibri" w:hAnsi="Calibri"/>
                <w:b/>
                <w:i w:val="0"/>
                <w:color w:val="FFFFFF"/>
                <w:sz w:val="15"/>
              </w:rPr>
              <w:t>EXPLICIT</w:t>
            </w:r>
          </w:p>
        </w:tc>
      </w:tr>
      <w:tr>
        <w:tc>
          <w:tcPr>
            <w:tcW w:type="dxa" w:w="804"/>
          </w:tcPr>
          <w:p>
            <w:pPr>
              <w:spacing w:after="0" w:before="0"/>
            </w:pPr>
            <w:r>
              <w:rPr>
                <w:rFonts w:ascii="Calibri" w:hAnsi="Calibri"/>
                <w:b/>
                <w:i w:val="0"/>
                <w:color w:val="142B4A"/>
                <w:sz w:val="15"/>
              </w:rPr>
              <w:t xml:space="preserve">c1.L2.a1  </w:t>
            </w:r>
            <w:r>
              <w:rPr>
                <w:rFonts w:ascii="Calibri" w:hAnsi="Calibri"/>
                <w:b w:val="0"/>
                <w:i w:val="0"/>
                <w:sz w:val="16"/>
              </w:rPr>
              <w:t>(A) discontinuing the rifampicin treatment and then (B) treating the patient with tasimelteon, thereby avoiding the use of tasimelteon in combination with rifampicin and also there</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3E7A8E"/>
          </w:tcPr>
          <w:p>
            <w:pPr>
              <w:spacing w:after="0" w:before="0"/>
            </w:pPr>
            <w:r>
              <w:rPr>
                <w:rFonts w:ascii="Calibri" w:hAnsi="Calibri"/>
                <w:b/>
                <w:i w:val="0"/>
                <w:color w:val="FFFFFF"/>
                <w:sz w:val="15"/>
              </w:rPr>
              <w:t>FUNC. INF.</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r>
      <w:tr>
        <w:tc>
          <w:tcPr>
            <w:tcW w:type="dxa" w:w="804"/>
          </w:tcPr>
          <w:p>
            <w:pPr>
              <w:spacing w:after="0" w:before="0"/>
            </w:pPr>
            <w:r>
              <w:rPr>
                <w:rFonts w:ascii="Calibri" w:hAnsi="Calibri"/>
                <w:b/>
                <w:i w:val="0"/>
                <w:color w:val="142B4A"/>
                <w:sz w:val="15"/>
              </w:rPr>
              <w:t xml:space="preserve">c2.L1.a1  </w:t>
            </w:r>
            <w:r>
              <w:rPr>
                <w:rFonts w:ascii="Calibri" w:hAnsi="Calibri"/>
                <w:b w:val="0"/>
                <w:i w:val="0"/>
                <w:sz w:val="16"/>
              </w:rPr>
              <w:t>treating the patient for Non-24-Hour Sleep-Wake Disorder</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r>
      <w:tr>
        <w:tc>
          <w:tcPr>
            <w:tcW w:type="dxa" w:w="804"/>
          </w:tcPr>
          <w:p>
            <w:pPr>
              <w:spacing w:after="0" w:before="0"/>
            </w:pPr>
            <w:r>
              <w:rPr>
                <w:rFonts w:ascii="Calibri" w:hAnsi="Calibri"/>
                <w:b/>
                <w:i w:val="0"/>
                <w:color w:val="142B4A"/>
                <w:sz w:val="15"/>
              </w:rPr>
              <w:t xml:space="preserve">c3.L1.a1  </w:t>
            </w:r>
            <w:r>
              <w:rPr>
                <w:rFonts w:ascii="Calibri" w:hAnsi="Calibri"/>
                <w:b w:val="0"/>
                <w:i w:val="0"/>
                <w:sz w:val="16"/>
              </w:rPr>
              <w:t>wherein the patient is light perception impaired (LPI)</w:t>
            </w:r>
          </w:p>
        </w:tc>
        <w:tc>
          <w:tcPr>
            <w:tcW w:type="dxa" w:w="804"/>
            <w:shd w:val="clear" w:color="auto" w:fill="B8B2A4"/>
          </w:tcPr>
          <w:p>
            <w:pPr>
              <w:spacing w:after="0" w:before="0"/>
            </w:pPr>
            <w:r>
              <w:rPr>
                <w:rFonts w:ascii="Calibri" w:hAnsi="Calibri"/>
                <w:b/>
                <w:i w:val="0"/>
                <w:color w:val="3A3527"/>
                <w:sz w:val="15"/>
              </w:rPr>
              <w:t>AMBIGUOUS</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r>
      <w:tr>
        <w:tc>
          <w:tcPr>
            <w:tcW w:type="dxa" w:w="804"/>
          </w:tcPr>
          <w:p>
            <w:pPr>
              <w:spacing w:after="0" w:before="0"/>
            </w:pPr>
            <w:r>
              <w:rPr>
                <w:rFonts w:ascii="Calibri" w:hAnsi="Calibri"/>
                <w:b/>
                <w:i w:val="0"/>
                <w:color w:val="142B4A"/>
                <w:sz w:val="15"/>
              </w:rPr>
              <w:t xml:space="preserve">c4.L1.a1  </w:t>
            </w:r>
            <w:r>
              <w:rPr>
                <w:rFonts w:ascii="Calibri" w:hAnsi="Calibri"/>
                <w:b w:val="0"/>
                <w:i w:val="0"/>
                <w:sz w:val="16"/>
              </w:rPr>
              <w:t>wherein treating the patient with tasimelteon comprises orally administering to the patient</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B8B2A4"/>
          </w:tcPr>
          <w:p>
            <w:pPr>
              <w:spacing w:after="0" w:before="0"/>
            </w:pPr>
            <w:r>
              <w:rPr>
                <w:rFonts w:ascii="Calibri" w:hAnsi="Calibri"/>
                <w:b/>
                <w:i w:val="0"/>
                <w:color w:val="3A3527"/>
                <w:sz w:val="15"/>
              </w:rPr>
              <w:t>AMBIGUOUS</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3E7A8E"/>
          </w:tcPr>
          <w:p>
            <w:pPr>
              <w:spacing w:after="0" w:before="0"/>
            </w:pPr>
            <w:r>
              <w:rPr>
                <w:rFonts w:ascii="Calibri" w:hAnsi="Calibri"/>
                <w:b/>
                <w:i w:val="0"/>
                <w:color w:val="FFFFFF"/>
                <w:sz w:val="15"/>
              </w:rPr>
              <w:t>STRUCT. INF.</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C9A227"/>
          </w:tcPr>
          <w:p>
            <w:pPr>
              <w:spacing w:after="0" w:before="0"/>
            </w:pPr>
            <w:r>
              <w:rPr>
                <w:rFonts w:ascii="Calibri" w:hAnsi="Calibri"/>
                <w:b/>
                <w:i w:val="0"/>
                <w:color w:val="241D06"/>
                <w:sz w:val="15"/>
              </w:rPr>
              <w:t>PARTIAL</w:t>
            </w:r>
          </w:p>
        </w:tc>
      </w:tr>
      <w:tr>
        <w:tc>
          <w:tcPr>
            <w:tcW w:type="dxa" w:w="804"/>
          </w:tcPr>
          <w:p>
            <w:pPr>
              <w:spacing w:after="0" w:before="0"/>
            </w:pPr>
            <w:r>
              <w:rPr>
                <w:rFonts w:ascii="Calibri" w:hAnsi="Calibri"/>
                <w:b/>
                <w:i w:val="0"/>
                <w:color w:val="142B4A"/>
                <w:sz w:val="15"/>
              </w:rPr>
              <w:t xml:space="preserve">c4.L2.a1  </w:t>
            </w:r>
            <w:r>
              <w:rPr>
                <w:rFonts w:ascii="Calibri" w:hAnsi="Calibri"/>
                <w:b w:val="0"/>
                <w:i w:val="0"/>
                <w:sz w:val="16"/>
              </w:rPr>
              <w:t>20 mg of tasimelteon</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B8B2A4"/>
          </w:tcPr>
          <w:p>
            <w:pPr>
              <w:spacing w:after="0" w:before="0"/>
            </w:pPr>
            <w:r>
              <w:rPr>
                <w:rFonts w:ascii="Calibri" w:hAnsi="Calibri"/>
                <w:b/>
                <w:i w:val="0"/>
                <w:color w:val="3A3527"/>
                <w:sz w:val="15"/>
              </w:rPr>
              <w:t>AMBIGUOUS</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r>
      <w:tr>
        <w:tc>
          <w:tcPr>
            <w:tcW w:type="dxa" w:w="804"/>
          </w:tcPr>
          <w:p>
            <w:pPr>
              <w:spacing w:after="0" w:before="0"/>
            </w:pPr>
            <w:r>
              <w:rPr>
                <w:rFonts w:ascii="Calibri" w:hAnsi="Calibri"/>
                <w:b/>
                <w:i w:val="0"/>
                <w:color w:val="142B4A"/>
                <w:sz w:val="15"/>
              </w:rPr>
              <w:t xml:space="preserve">c4.L3.a1  </w:t>
            </w:r>
            <w:r>
              <w:rPr>
                <w:rFonts w:ascii="Calibri" w:hAnsi="Calibri"/>
                <w:b w:val="0"/>
                <w:i w:val="0"/>
                <w:sz w:val="16"/>
              </w:rPr>
              <w:t>once daily</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B8B2A4"/>
          </w:tcPr>
          <w:p>
            <w:pPr>
              <w:spacing w:after="0" w:before="0"/>
            </w:pPr>
            <w:r>
              <w:rPr>
                <w:rFonts w:ascii="Calibri" w:hAnsi="Calibri"/>
                <w:b/>
                <w:i w:val="0"/>
                <w:color w:val="3A3527"/>
                <w:sz w:val="15"/>
              </w:rPr>
              <w:t>AMBIGUOUS</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C9A227"/>
          </w:tcPr>
          <w:p>
            <w:pPr>
              <w:spacing w:after="0" w:before="0"/>
            </w:pPr>
            <w:r>
              <w:rPr>
                <w:rFonts w:ascii="Calibri" w:hAnsi="Calibri"/>
                <w:b/>
                <w:i w:val="0"/>
                <w:color w:val="241D06"/>
                <w:sz w:val="15"/>
              </w:rPr>
              <w:t>PARTIAL</w:t>
            </w:r>
          </w:p>
        </w:tc>
      </w:tr>
      <w:tr>
        <w:tc>
          <w:tcPr>
            <w:tcW w:type="dxa" w:w="804"/>
          </w:tcPr>
          <w:p>
            <w:pPr>
              <w:spacing w:after="0" w:before="0"/>
            </w:pPr>
            <w:r>
              <w:rPr>
                <w:rFonts w:ascii="Calibri" w:hAnsi="Calibri"/>
                <w:b/>
                <w:i w:val="0"/>
                <w:color w:val="142B4A"/>
                <w:sz w:val="15"/>
              </w:rPr>
              <w:t xml:space="preserve">c4.L4.a1  </w:t>
            </w:r>
            <w:r>
              <w:rPr>
                <w:rFonts w:ascii="Calibri" w:hAnsi="Calibri"/>
                <w:b w:val="0"/>
                <w:i w:val="0"/>
                <w:sz w:val="16"/>
              </w:rPr>
              <w:t>before a target bedtime</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C9A227"/>
          </w:tcPr>
          <w:p>
            <w:pPr>
              <w:spacing w:after="0" w:before="0"/>
            </w:pPr>
            <w:r>
              <w:rPr>
                <w:rFonts w:ascii="Calibri" w:hAnsi="Calibri"/>
                <w:b/>
                <w:i w:val="0"/>
                <w:color w:val="241D06"/>
                <w:sz w:val="15"/>
              </w:rPr>
              <w:t>PARTIAL</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2E7D4F"/>
          </w:tcPr>
          <w:p>
            <w:pPr>
              <w:spacing w:after="0" w:before="0"/>
            </w:pPr>
            <w:r>
              <w:rPr>
                <w:rFonts w:ascii="Calibri" w:hAnsi="Calibri"/>
                <w:b/>
                <w:i w:val="0"/>
                <w:color w:val="FFFFFF"/>
                <w:sz w:val="15"/>
              </w:rPr>
              <w:t>EXPLICIT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c>
          <w:tcPr>
            <w:tcW w:type="dxa" w:w="804"/>
            <w:shd w:val="clear" w:color="auto" w:fill="E8ECF1"/>
          </w:tcPr>
          <w:p>
            <w:pPr>
              <w:spacing w:after="0" w:before="0"/>
            </w:pPr>
            <w:r>
              <w:rPr>
                <w:rFonts w:ascii="Calibri" w:hAnsi="Calibri"/>
                <w:b/>
                <w:i w:val="0"/>
                <w:color w:val="8A94A2"/>
                <w:sz w:val="15"/>
              </w:rPr>
              <w:t>—</w:t>
            </w:r>
          </w:p>
        </w:tc>
      </w:tr>
    </w:tbl>
    <w:p>
      <w:pPr>
        <w:spacing w:after="80" w:before="0"/>
      </w:pPr>
      <w:r>
        <w:rPr>
          <w:rFonts w:ascii="Calibri" w:hAnsi="Calibri"/>
          <w:b w:val="0"/>
          <w:i w:val="0"/>
          <w:color w:val="595959"/>
          <w:sz w:val="18"/>
        </w:rPr>
        <w:t>How to read this matrix. Each row is one piece of the claim, decomposed verbatim; rows marked GAP are the pieces the best combination of references could not cover. Each column is one place art was looked for: the examiner's own classification scope first, then each territory the classification map added, then each scholarly library whose verified papers joined the combination (teal headers; abstract-graded papers are screening-grade until confirmed in full text). A cell shows the strongest grade any document from that source achieved on that piece — EXPLICIT (stated outright), STRUCT. INF. (necessarily implied by structure), PARTIAL, AMBIGUOUS, or a dash (nothing found). A GAP row with color outside the examiner column is coverage the examiner's scope could not reach; a GAP row dark across every column is the target list for the next widening of the search.</w:t>
      </w:r>
    </w:p>
    <w:p>
      <w:r>
        <w:br w:type="page"/>
      </w:r>
    </w:p>
    <w:p>
      <w:pPr>
        <w:keepNext/>
        <w:spacing w:before="240" w:after="60"/>
        <w:pBdr>
          <w:bottom w:val="single" w:sz="4" w:color="C9A227"/>
        </w:pBdr>
      </w:pPr>
      <w:r>
        <w:rPr>
          <w:rFonts w:ascii="Calibri Light" w:hAnsi="Calibri Light"/>
          <w:b/>
          <w:i w:val="0"/>
          <w:color w:val="C9A227"/>
          <w:sz w:val="30"/>
        </w:rPr>
        <w:t xml:space="preserve">RE  </w:t>
      </w:r>
      <w:r>
        <w:rPr>
          <w:rFonts w:ascii="Calibri Light" w:hAnsi="Calibri Light"/>
          <w:b w:val="0"/>
          <w:i w:val="0"/>
          <w:color w:val="142B4A"/>
          <w:sz w:val="30"/>
        </w:rPr>
        <w:t>Reference evidence - the graded quotes, verbatim, one block per reference</w:t>
      </w:r>
    </w:p>
    <w:p>
      <w:pPr>
        <w:spacing w:after="80" w:before="0"/>
      </w:pPr>
      <w:r>
        <w:rPr>
          <w:rFonts w:ascii="Calibri" w:hAnsi="Calibri"/>
          <w:b w:val="0"/>
          <w:i w:val="0"/>
          <w:color w:val="595959"/>
          <w:sz w:val="19"/>
        </w:rPr>
        <w:t>Each quote below is printed exactly as the grader recorded it from the reference, with its locator, so a reviewer (and IPVerifier) can find it in the source. Grades are screening evidence for a hypothetical s.103 analysis, not a legal determination.</w:t>
      </w:r>
    </w:p>
    <w:p>
      <w:pPr>
        <w:spacing w:after="40" w:before="0"/>
      </w:pPr>
      <w:r>
        <w:rPr>
          <w:rFonts w:ascii="Calibri" w:hAnsi="Calibri"/>
          <w:b/>
          <w:i w:val="0"/>
          <w:color w:val="142B4A"/>
          <w:sz w:val="20"/>
        </w:rPr>
        <w:t xml:space="preserve">Compared file: </w:t>
      </w:r>
      <w:r>
        <w:rPr>
          <w:rFonts w:ascii="Calibri" w:hAnsi="Calibri"/>
          <w:b/>
          <w:i w:val="0"/>
          <w:color w:val="C9A227"/>
          <w:sz w:val="20"/>
        </w:rPr>
        <w:t>US20040044064A1 (Lewy et al.)</w:t>
      </w:r>
    </w:p>
    <w:p>
      <w:pPr>
        <w:spacing w:after="80" w:before="0"/>
      </w:pPr>
      <w:r>
        <w:rPr>
          <w:rFonts w:ascii="Calibri" w:hAnsi="Calibri"/>
          <w:b w:val="0"/>
          <w:i w:val="0"/>
          <w:color w:val="595959"/>
          <w:sz w:val="16"/>
        </w:rPr>
        <w:t>LEWY ALFRED J; SACK ROBERT L  ·  pub. 2004-03-04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A method for alleviating a circadian rhythm disorder in a human, the method comprising the step of achieving a circadian phase-delaying effect in the human according to the method of claims 1 , 2 , 3 or 4 .</w:t>
      </w:r>
    </w:p>
    <w:p>
      <w:pPr>
        <w:spacing w:after="60" w:before="0"/>
      </w:pPr>
      <w:r>
        <w:rPr>
          <w:rFonts w:ascii="Calibri" w:hAnsi="Calibri"/>
          <w:b w:val="0"/>
          <w:i w:val="0"/>
          <w:color w:val="595959"/>
          <w:sz w:val="16"/>
        </w:rPr>
        <w:t>Locator: Claim 11</w:t>
      </w:r>
    </w:p>
    <w:p>
      <w:pPr>
        <w:spacing w:after="20" w:before="0"/>
      </w:pPr>
      <w:r>
        <w:rPr>
          <w:rFonts w:ascii="Calibri" w:hAnsi="Calibri"/>
          <w:b/>
          <w:i w:val="0"/>
          <w:sz w:val="18"/>
        </w:rPr>
        <w:t>c3.L1.a1  ·  AMBIGUOUS</w:t>
      </w:r>
    </w:p>
    <w:p>
      <w:pPr>
        <w:spacing w:after="20" w:before="0"/>
        <w:ind w:left="280"/>
      </w:pPr>
      <w:r>
        <w:rPr>
          <w:rFonts w:ascii="Calibri" w:hAnsi="Calibri"/>
          <w:b w:val="0"/>
          <w:i/>
          <w:color w:val="142B4A"/>
          <w:sz w:val="18"/>
        </w:rPr>
        <w:t>Many infants, most totally blind people, and a few sighted adults have free-running circadian rhythms that are not entrained to the light/dark cycle.</w:t>
      </w:r>
    </w:p>
    <w:p>
      <w:pPr>
        <w:spacing w:after="60" w:before="0"/>
      </w:pPr>
      <w:r>
        <w:rPr>
          <w:rFonts w:ascii="Calibri" w:hAnsi="Calibri"/>
          <w:b w:val="0"/>
          <w:i w:val="0"/>
          <w:color w:val="595959"/>
          <w:sz w:val="16"/>
        </w:rPr>
        <w:t>Locator: Example 13</w:t>
      </w:r>
    </w:p>
    <w:p>
      <w:pPr>
        <w:spacing w:after="20" w:before="0"/>
      </w:pPr>
      <w:r>
        <w:rPr>
          <w:rFonts w:ascii="Calibri" w:hAnsi="Calibri"/>
          <w:b/>
          <w:i w:val="0"/>
          <w:sz w:val="18"/>
        </w:rPr>
        <w:t>c4.L1.a1  ·  EXPLICIT</w:t>
      </w:r>
    </w:p>
    <w:p>
      <w:pPr>
        <w:spacing w:after="20" w:before="0"/>
        <w:ind w:left="280"/>
      </w:pPr>
      <w:r>
        <w:rPr>
          <w:rFonts w:ascii="Calibri" w:hAnsi="Calibri"/>
          <w:b w:val="0"/>
          <w:i/>
          <w:color w:val="142B4A"/>
          <w:sz w:val="18"/>
        </w:rPr>
        <w:t>In a preferred embodiment of this invention, melatonin is administered orally.</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melatonin is administered to the human in an immediate-release formulation before about circadian time (CT) 14</w:t>
      </w:r>
    </w:p>
    <w:p>
      <w:pPr>
        <w:spacing w:after="60" w:before="0"/>
      </w:pPr>
      <w:r>
        <w:rPr>
          <w:rFonts w:ascii="Calibri" w:hAnsi="Calibri"/>
          <w:b w:val="0"/>
          <w:i w:val="0"/>
          <w:color w:val="595959"/>
          <w:sz w:val="16"/>
        </w:rPr>
        <w:t>Locator: Summary of the Invention</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the earlier the afternoon rise of exogenous melatonin relative to the endogenous onset, the greater the phase advance observed</w:t>
      </w:r>
    </w:p>
    <w:p>
      <w:pPr>
        <w:spacing w:after="60" w:before="0"/>
      </w:pPr>
      <w:r>
        <w:rPr>
          <w:rFonts w:ascii="Calibri" w:hAnsi="Calibri"/>
          <w:b w:val="0"/>
          <w:i w:val="0"/>
          <w:color w:val="595959"/>
          <w:sz w:val="16"/>
        </w:rPr>
        <w:t>Locator: Example 3</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US20100056622A1 (Lauterbach)</w:t>
      </w:r>
    </w:p>
    <w:p>
      <w:pPr>
        <w:spacing w:after="80" w:before="0"/>
      </w:pPr>
      <w:r>
        <w:rPr>
          <w:rFonts w:ascii="Calibri" w:hAnsi="Calibri"/>
          <w:b w:val="0"/>
          <w:i w:val="0"/>
          <w:color w:val="595959"/>
          <w:sz w:val="16"/>
        </w:rPr>
        <w:t>LAUTERBACH EDWARD C  ·  pub. 2010-03-04  ·  published before the subject's priority date  ·  channel: eligible</w:t>
      </w:r>
    </w:p>
    <w:p>
      <w:pPr>
        <w:spacing w:after="20" w:before="0"/>
      </w:pPr>
      <w:r>
        <w:rPr>
          <w:rFonts w:ascii="Calibri" w:hAnsi="Calibri"/>
          <w:b/>
          <w:i w:val="0"/>
          <w:sz w:val="18"/>
        </w:rPr>
        <w:t>c1.L2.a1  ·  PARTIAL</w:t>
      </w:r>
    </w:p>
    <w:p>
      <w:pPr>
        <w:spacing w:after="20" w:before="0"/>
        <w:ind w:left="280"/>
      </w:pPr>
      <w:r>
        <w:rPr>
          <w:rFonts w:ascii="Calibri" w:hAnsi="Calibri"/>
          <w:b w:val="0"/>
          <w:i/>
          <w:color w:val="142B4A"/>
          <w:sz w:val="18"/>
        </w:rPr>
        <w:t>inducers of 2C9 such as rifampin, and secobarbital</w:t>
      </w:r>
    </w:p>
    <w:p>
      <w:pPr>
        <w:spacing w:after="60" w:before="0"/>
      </w:pPr>
      <w:r>
        <w:rPr>
          <w:rFonts w:ascii="Calibri" w:hAnsi="Calibri"/>
          <w:b w:val="0"/>
          <w:i w:val="0"/>
          <w:color w:val="595959"/>
          <w:sz w:val="16"/>
        </w:rPr>
        <w:t>Locator: Detailed Description, drug interaction list</w:t>
      </w:r>
    </w:p>
    <w:p>
      <w:pPr>
        <w:spacing w:after="20" w:before="0"/>
      </w:pPr>
      <w:r>
        <w:rPr>
          <w:rFonts w:ascii="Calibri" w:hAnsi="Calibri"/>
          <w:b/>
          <w:i w:val="0"/>
          <w:color w:val="595959"/>
          <w:sz w:val="17"/>
        </w:rPr>
        <w:t>Analogous teaching (awaiting attorney) for ramelteon</w:t>
      </w:r>
    </w:p>
    <w:p>
      <w:pPr>
        <w:spacing w:after="20" w:before="0"/>
        <w:ind w:left="280"/>
      </w:pPr>
      <w:r>
        <w:rPr>
          <w:rFonts w:ascii="Calibri" w:hAnsi="Calibri"/>
          <w:b w:val="0"/>
          <w:i/>
          <w:color w:val="142B4A"/>
          <w:sz w:val="18"/>
        </w:rPr>
        <w:t>Further, patients on medications that unfavorably interact with RMT are typically not suitable for treatment with RMT unless the specified medication can be discontinued (e.g., medications that can lead to P450 CYP1A2, 2C9, and 3A4 pharmacokinetic interactions).</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c4.L1.a1  ·  EXPLICIT</w:t>
      </w:r>
    </w:p>
    <w:p>
      <w:pPr>
        <w:spacing w:after="20" w:before="0"/>
        <w:ind w:left="280"/>
      </w:pPr>
      <w:r>
        <w:rPr>
          <w:rFonts w:ascii="Calibri" w:hAnsi="Calibri"/>
          <w:b w:val="0"/>
          <w:i/>
          <w:color w:val="142B4A"/>
          <w:sz w:val="18"/>
        </w:rPr>
        <w:t>In one desired embodiment, the step of administering ramelteon to a patient suffering from a neurodegenerative disease comprises oral administration of ramelteon to the patient.</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Ramelteon was administered beginning at 8 mg at bedtime and increased after 3 days to 16 mg by mouth each night at bedtime.</w:t>
      </w:r>
    </w:p>
    <w:p>
      <w:pPr>
        <w:spacing w:after="60" w:before="0"/>
      </w:pPr>
      <w:r>
        <w:rPr>
          <w:rFonts w:ascii="Calibri" w:hAnsi="Calibri"/>
          <w:b w:val="0"/>
          <w:i w:val="0"/>
          <w:color w:val="595959"/>
          <w:sz w:val="16"/>
        </w:rPr>
        <w:t>Locator: Example 1</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Ramelteon was administered beginning at 8 mg at bedtime</w:t>
      </w:r>
    </w:p>
    <w:p>
      <w:pPr>
        <w:spacing w:after="60" w:before="0"/>
      </w:pPr>
      <w:r>
        <w:rPr>
          <w:rFonts w:ascii="Calibri" w:hAnsi="Calibri"/>
          <w:b w:val="0"/>
          <w:i w:val="0"/>
          <w:color w:val="595959"/>
          <w:sz w:val="16"/>
        </w:rPr>
        <w:t>Locator: Example 1</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EP2308491B1 (Bradford et al.)</w:t>
      </w:r>
    </w:p>
    <w:p>
      <w:pPr>
        <w:spacing w:after="80" w:before="0"/>
      </w:pPr>
      <w:r>
        <w:rPr>
          <w:rFonts w:ascii="Calibri" w:hAnsi="Calibri"/>
          <w:b w:val="0"/>
          <w:i w:val="0"/>
          <w:color w:val="595959"/>
          <w:sz w:val="16"/>
        </w:rPr>
        <w:t>INTERMUNE INC  ·  pub. 2011-09-07  ·  published before the subject's priority date  ·  channel: eligible</w:t>
      </w:r>
    </w:p>
    <w:p>
      <w:pPr>
        <w:spacing w:after="20" w:before="0"/>
      </w:pPr>
      <w:r>
        <w:rPr>
          <w:rFonts w:ascii="Calibri" w:hAnsi="Calibri"/>
          <w:b/>
          <w:i w:val="0"/>
          <w:sz w:val="18"/>
        </w:rPr>
        <w:t>c1.L1.a2  ·  EXPLICIT</w:t>
      </w:r>
    </w:p>
    <w:p>
      <w:pPr>
        <w:spacing w:after="20" w:before="0"/>
        <w:ind w:left="280"/>
      </w:pPr>
      <w:r>
        <w:rPr>
          <w:rFonts w:ascii="Calibri" w:hAnsi="Calibri"/>
          <w:b w:val="0"/>
          <w:i/>
          <w:color w:val="142B4A"/>
          <w:sz w:val="18"/>
        </w:rPr>
        <w:t>wherein the strong inducer is cigarette smoke, smoking or rifampicin</w:t>
      </w:r>
    </w:p>
    <w:p>
      <w:pPr>
        <w:spacing w:after="60" w:before="0"/>
      </w:pPr>
      <w:r>
        <w:rPr>
          <w:rFonts w:ascii="Calibri" w:hAnsi="Calibri"/>
          <w:b w:val="0"/>
          <w:i w:val="0"/>
          <w:color w:val="595959"/>
          <w:sz w:val="16"/>
        </w:rPr>
        <w:t>Locator: Claims</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As an investigational drug, pirfenidone is provided in tablet and capsule forms principally for oral administration.</w:t>
      </w:r>
    </w:p>
    <w:p>
      <w:pPr>
        <w:spacing w:after="60" w:before="0"/>
      </w:pPr>
      <w:r>
        <w:rPr>
          <w:rFonts w:ascii="Calibri" w:hAnsi="Calibri"/>
          <w:b w:val="0"/>
          <w:i w:val="0"/>
          <w:color w:val="595959"/>
          <w:sz w:val="16"/>
        </w:rPr>
        <w:t>Locator: Background</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alternatively is administered in a single dose once a day</w:t>
      </w:r>
    </w:p>
    <w:p>
      <w:pPr>
        <w:spacing w:after="60" w:before="0"/>
      </w:pPr>
      <w:r>
        <w:rPr>
          <w:rFonts w:ascii="Calibri" w:hAnsi="Calibri"/>
          <w:b w:val="0"/>
          <w:i w:val="0"/>
          <w:color w:val="595959"/>
          <w:sz w:val="16"/>
        </w:rPr>
        <w:t>Locator: Summary</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NCT:NCT01218789 (ClinicalTrials.gov 2010)</w:t>
      </w:r>
      <w:r>
        <w:rPr>
          <w:rFonts w:ascii="Calibri" w:hAnsi="Calibri"/>
          <w:b w:val="0"/>
          <w:i w:val="0"/>
          <w:color w:val="142B4A"/>
          <w:sz w:val="20"/>
        </w:rPr>
        <w:t xml:space="preserve">  Safety Study of Tasimelteon for Treatment of Non-24-Hour-Sleep-Wake Disorder in Blind Individuals With No Light Perception</w:t>
      </w:r>
    </w:p>
    <w:p>
      <w:pPr>
        <w:spacing w:after="80" w:before="0"/>
      </w:pPr>
      <w:r>
        <w:rPr>
          <w:rFonts w:ascii="Calibri" w:hAnsi="Calibri"/>
          <w:b w:val="0"/>
          <w:i w:val="0"/>
          <w:color w:val="595959"/>
          <w:sz w:val="16"/>
        </w:rPr>
        <w:t>pub. 2010-10-11  ·  published before the subject's priority date  ·  channel: eligible</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Open-Label Safety Study of a 1-Year 20 mg Dose Regimen of Tasimelteon for Treatment of Non-24-Hour-Sleep-Wake Disorder (N24HSWD) in Blind Individuals With No Light Perception</w:t>
      </w:r>
    </w:p>
    <w:p>
      <w:pPr>
        <w:spacing w:after="60" w:before="0"/>
      </w:pPr>
      <w:r>
        <w:rPr>
          <w:rFonts w:ascii="Calibri" w:hAnsi="Calibri"/>
          <w:b w:val="0"/>
          <w:i w:val="0"/>
          <w:color w:val="595959"/>
          <w:sz w:val="16"/>
        </w:rPr>
        <w:t>Locator: Title</w:t>
      </w:r>
    </w:p>
    <w:p>
      <w:pPr>
        <w:spacing w:after="20" w:before="0"/>
      </w:pPr>
      <w:r>
        <w:rPr>
          <w:rFonts w:ascii="Calibri" w:hAnsi="Calibri"/>
          <w:b/>
          <w:i w:val="0"/>
          <w:sz w:val="18"/>
        </w:rPr>
        <w:t>c3.L1.a1  ·  EXPLICIT</w:t>
      </w:r>
    </w:p>
    <w:p>
      <w:pPr>
        <w:spacing w:after="20" w:before="0"/>
        <w:ind w:left="280"/>
      </w:pPr>
      <w:r>
        <w:rPr>
          <w:rFonts w:ascii="Calibri" w:hAnsi="Calibri"/>
          <w:b w:val="0"/>
          <w:i/>
          <w:color w:val="142B4A"/>
          <w:sz w:val="18"/>
        </w:rPr>
        <w:t>in Blind Individuals With No Light Perception</w:t>
      </w:r>
    </w:p>
    <w:p>
      <w:pPr>
        <w:spacing w:after="60" w:before="0"/>
      </w:pPr>
      <w:r>
        <w:rPr>
          <w:rFonts w:ascii="Calibri" w:hAnsi="Calibri"/>
          <w:b w:val="0"/>
          <w:i w:val="0"/>
          <w:color w:val="595959"/>
          <w:sz w:val="16"/>
        </w:rPr>
        <w:t>Locator: Title</w:t>
      </w:r>
    </w:p>
    <w:p>
      <w:pPr>
        <w:spacing w:after="20" w:before="0"/>
      </w:pPr>
      <w:r>
        <w:rPr>
          <w:rFonts w:ascii="Calibri" w:hAnsi="Calibri"/>
          <w:b/>
          <w:i w:val="0"/>
          <w:sz w:val="18"/>
        </w:rPr>
        <w:t>c4.L1.a1  ·  EXPLICIT</w:t>
      </w:r>
    </w:p>
    <w:p>
      <w:pPr>
        <w:spacing w:after="20" w:before="0"/>
        <w:ind w:left="280"/>
      </w:pPr>
      <w:r>
        <w:rPr>
          <w:rFonts w:ascii="Calibri" w:hAnsi="Calibri"/>
          <w:b w:val="0"/>
          <w:i/>
          <w:color w:val="142B4A"/>
          <w:sz w:val="18"/>
        </w:rPr>
        <w:t>patients will be asked to take 20 mg tasimelteon daily approximately 60 minutes prior to their target bedtime</w:t>
      </w:r>
    </w:p>
    <w:p>
      <w:pPr>
        <w:spacing w:after="60" w:before="0"/>
      </w:pPr>
      <w:r>
        <w:rPr>
          <w:rFonts w:ascii="Calibri" w:hAnsi="Calibri"/>
          <w:b w:val="0"/>
          <w:i w:val="0"/>
          <w:color w:val="595959"/>
          <w:sz w:val="16"/>
        </w:rPr>
        <w:t>Locator: Study design paragraph</w:t>
      </w:r>
    </w:p>
    <w:p>
      <w:pPr>
        <w:spacing w:after="20" w:before="0"/>
      </w:pPr>
      <w:r>
        <w:rPr>
          <w:rFonts w:ascii="Calibri" w:hAnsi="Calibri"/>
          <w:b/>
          <w:i w:val="0"/>
          <w:sz w:val="18"/>
        </w:rPr>
        <w:t>c4.L2.a1  ·  EXPLICIT</w:t>
      </w:r>
    </w:p>
    <w:p>
      <w:pPr>
        <w:spacing w:after="20" w:before="0"/>
        <w:ind w:left="280"/>
      </w:pPr>
      <w:r>
        <w:rPr>
          <w:rFonts w:ascii="Calibri" w:hAnsi="Calibri"/>
          <w:b w:val="0"/>
          <w:i/>
          <w:color w:val="142B4A"/>
          <w:sz w:val="18"/>
        </w:rPr>
        <w:t>20 mg tasimelteon capsules, PO daily for 1 year</w:t>
      </w:r>
    </w:p>
    <w:p>
      <w:pPr>
        <w:spacing w:after="60" w:before="0"/>
      </w:pPr>
      <w:r>
        <w:rPr>
          <w:rFonts w:ascii="Calibri" w:hAnsi="Calibri"/>
          <w:b w:val="0"/>
          <w:i w:val="0"/>
          <w:color w:val="595959"/>
          <w:sz w:val="16"/>
        </w:rPr>
        <w:t>Locator: Arms/Interventions</w:t>
      </w:r>
    </w:p>
    <w:p>
      <w:pPr>
        <w:spacing w:after="20" w:before="0"/>
      </w:pPr>
      <w:r>
        <w:rPr>
          <w:rFonts w:ascii="Calibri" w:hAnsi="Calibri"/>
          <w:b/>
          <w:i w:val="0"/>
          <w:sz w:val="18"/>
        </w:rPr>
        <w:t>c4.L3.a1  ·  EXPLICIT</w:t>
      </w:r>
    </w:p>
    <w:p>
      <w:pPr>
        <w:spacing w:after="20" w:before="0"/>
        <w:ind w:left="280"/>
      </w:pPr>
      <w:r>
        <w:rPr>
          <w:rFonts w:ascii="Calibri" w:hAnsi="Calibri"/>
          <w:b w:val="0"/>
          <w:i/>
          <w:color w:val="142B4A"/>
          <w:sz w:val="18"/>
        </w:rPr>
        <w:t>20 mg tasimelteon capsules, PO daily for 1 year</w:t>
      </w:r>
    </w:p>
    <w:p>
      <w:pPr>
        <w:spacing w:after="60" w:before="0"/>
      </w:pPr>
      <w:r>
        <w:rPr>
          <w:rFonts w:ascii="Calibri" w:hAnsi="Calibri"/>
          <w:b w:val="0"/>
          <w:i w:val="0"/>
          <w:color w:val="595959"/>
          <w:sz w:val="16"/>
        </w:rPr>
        <w:t>Locator: Arms/Interventions</w:t>
      </w:r>
    </w:p>
    <w:p>
      <w:pPr>
        <w:spacing w:after="20" w:before="0"/>
      </w:pPr>
      <w:r>
        <w:rPr>
          <w:rFonts w:ascii="Calibri" w:hAnsi="Calibri"/>
          <w:b/>
          <w:i w:val="0"/>
          <w:sz w:val="18"/>
        </w:rPr>
        <w:t>c4.L4.a1  ·  EXPLICIT</w:t>
      </w:r>
    </w:p>
    <w:p>
      <w:pPr>
        <w:spacing w:after="20" w:before="0"/>
        <w:ind w:left="280"/>
      </w:pPr>
      <w:r>
        <w:rPr>
          <w:rFonts w:ascii="Calibri" w:hAnsi="Calibri"/>
          <w:b w:val="0"/>
          <w:i/>
          <w:color w:val="142B4A"/>
          <w:sz w:val="18"/>
        </w:rPr>
        <w:t>patients will be asked to take 20 mg tasimelteon daily approximately 60 minutes prior to their target bedtime</w:t>
      </w:r>
    </w:p>
    <w:p>
      <w:pPr>
        <w:spacing w:after="60" w:before="0"/>
      </w:pPr>
      <w:r>
        <w:rPr>
          <w:rFonts w:ascii="Calibri" w:hAnsi="Calibri"/>
          <w:b w:val="0"/>
          <w:i w:val="0"/>
          <w:color w:val="595959"/>
          <w:sz w:val="16"/>
        </w:rPr>
        <w:t>Locator: Study design paragraph</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US8101596B2 (Edgar et al.)</w:t>
      </w:r>
    </w:p>
    <w:p>
      <w:pPr>
        <w:spacing w:after="80" w:before="0"/>
      </w:pPr>
      <w:r>
        <w:rPr>
          <w:rFonts w:ascii="Calibri" w:hAnsi="Calibri"/>
          <w:b w:val="0"/>
          <w:i w:val="0"/>
          <w:color w:val="595959"/>
          <w:sz w:val="16"/>
        </w:rPr>
        <w:t>EDGAR DALE M; HANGAUER DAVID G  et al.  ·  pub. 2012-01-24  ·  published before the subject's priority date  ·  channel: eligible</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Circadian rhythm sleep disorders include, for example, time-zone change (jet lag) syndrome, shift work sleep disorder, irregular sleep-wake pattern, delayed sleep phase syndrome, advanced sleep phase syndrome, and non-24-hour sleep-wake disorder.</w:t>
      </w:r>
    </w:p>
    <w:p>
      <w:pPr>
        <w:spacing w:after="60" w:before="0"/>
      </w:pPr>
      <w:r>
        <w:rPr>
          <w:rFonts w:ascii="Calibri" w:hAnsi="Calibri"/>
          <w:b w:val="0"/>
          <w:i w:val="0"/>
          <w:color w:val="595959"/>
          <w:sz w:val="16"/>
        </w:rPr>
        <w:t>Locator: Definitions section</w:t>
      </w:r>
    </w:p>
    <w:p>
      <w:pPr>
        <w:spacing w:after="20" w:before="0"/>
      </w:pPr>
      <w:r>
        <w:rPr>
          <w:rFonts w:ascii="Calibri" w:hAnsi="Calibri"/>
          <w:b/>
          <w:i w:val="0"/>
          <w:sz w:val="18"/>
        </w:rPr>
        <w:t>c4.L1.a1  ·  EXPLICIT</w:t>
      </w:r>
    </w:p>
    <w:p>
      <w:pPr>
        <w:spacing w:after="20" w:before="0"/>
        <w:ind w:left="280"/>
      </w:pPr>
      <w:r>
        <w:rPr>
          <w:rFonts w:ascii="Calibri" w:hAnsi="Calibri"/>
          <w:b w:val="0"/>
          <w:i/>
          <w:color w:val="142B4A"/>
          <w:sz w:val="18"/>
        </w:rPr>
        <w:t>In one embodiment, the compound is administered orally.</w:t>
      </w:r>
    </w:p>
    <w:p>
      <w:pPr>
        <w:spacing w:after="60" w:before="0"/>
      </w:pPr>
      <w:r>
        <w:rPr>
          <w:rFonts w:ascii="Calibri" w:hAnsi="Calibri"/>
          <w:b w:val="0"/>
          <w:i w:val="0"/>
          <w:color w:val="595959"/>
          <w:sz w:val="16"/>
        </w:rPr>
        <w:t>Locator: Administration section</w:t>
      </w:r>
    </w:p>
    <w:p>
      <w:pPr>
        <w:spacing w:after="20" w:before="0"/>
      </w:pPr>
      <w:r>
        <w:rPr>
          <w:rFonts w:ascii="Calibri" w:hAnsi="Calibri"/>
          <w:b/>
          <w:i w:val="0"/>
          <w:sz w:val="18"/>
        </w:rPr>
        <w:t>c4.L3.a1  ·  AMBIGUOUS</w:t>
      </w:r>
    </w:p>
    <w:p>
      <w:pPr>
        <w:spacing w:after="20" w:before="0"/>
        <w:ind w:left="280"/>
      </w:pPr>
      <w:r>
        <w:rPr>
          <w:rFonts w:ascii="Calibri" w:hAnsi="Calibri"/>
          <w:b w:val="0"/>
          <w:i/>
          <w:color w:val="142B4A"/>
          <w:sz w:val="18"/>
        </w:rPr>
        <w:t>once daily for 5 days</w:t>
      </w:r>
    </w:p>
    <w:p>
      <w:pPr>
        <w:spacing w:after="60" w:before="0"/>
      </w:pPr>
      <w:r>
        <w:rPr>
          <w:rFonts w:ascii="Calibri" w:hAnsi="Calibri"/>
          <w:b w:val="0"/>
          <w:i w:val="0"/>
          <w:color w:val="595959"/>
          <w:sz w:val="16"/>
        </w:rPr>
        <w:t>Locator: Acute Rat Study</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US20050137247A1 (Czeisler et al.)</w:t>
      </w:r>
    </w:p>
    <w:p>
      <w:pPr>
        <w:spacing w:after="80" w:before="0"/>
      </w:pPr>
      <w:r>
        <w:rPr>
          <w:rFonts w:ascii="Calibri" w:hAnsi="Calibri"/>
          <w:b w:val="0"/>
          <w:i w:val="0"/>
          <w:color w:val="595959"/>
          <w:sz w:val="16"/>
        </w:rPr>
        <w:t>BRIGHAM &amp; WOMENS HOSPITAL  ·  pub. 2005-06-23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In a certain embodiment, the antihypertensive agent is formulated for oral administration as a tablet or an aqueous solution or suspension.</w:t>
      </w:r>
    </w:p>
    <w:p>
      <w:pPr>
        <w:spacing w:after="60" w:before="0"/>
      </w:pPr>
      <w:r>
        <w:rPr>
          <w:rFonts w:ascii="Calibri" w:hAnsi="Calibri"/>
          <w:b w:val="0"/>
          <w:i w:val="0"/>
          <w:color w:val="595959"/>
          <w:sz w:val="16"/>
        </w:rPr>
        <w:t>Locator: Formulations</w:t>
      </w:r>
    </w:p>
    <w:p>
      <w:pPr>
        <w:spacing w:after="20" w:before="0"/>
      </w:pPr>
      <w:r>
        <w:rPr>
          <w:rFonts w:ascii="Calibri" w:hAnsi="Calibri"/>
          <w:b/>
          <w:i w:val="0"/>
          <w:sz w:val="18"/>
        </w:rPr>
        <w:t>c4.L3.a1  ·  EXPLICIT</w:t>
      </w:r>
    </w:p>
    <w:p>
      <w:pPr>
        <w:spacing w:after="20" w:before="0"/>
        <w:ind w:left="280"/>
      </w:pPr>
      <w:r>
        <w:rPr>
          <w:rFonts w:ascii="Calibri" w:hAnsi="Calibri"/>
          <w:b w:val="0"/>
          <w:i/>
          <w:color w:val="142B4A"/>
          <w:sz w:val="18"/>
        </w:rPr>
        <w:t>wherein said melatonin receptor agonist is administered to said subject at night time or before the patient's bedtime on a daily basis</w:t>
      </w:r>
    </w:p>
    <w:p>
      <w:pPr>
        <w:spacing w:after="60" w:before="0"/>
      </w:pPr>
      <w:r>
        <w:rPr>
          <w:rFonts w:ascii="Calibri" w:hAnsi="Calibri"/>
          <w:b w:val="0"/>
          <w:i w:val="0"/>
          <w:color w:val="595959"/>
          <w:sz w:val="16"/>
        </w:rPr>
        <w:t>Locator: Claim 1</w:t>
      </w:r>
    </w:p>
    <w:p>
      <w:pPr>
        <w:spacing w:after="20" w:before="0"/>
      </w:pPr>
      <w:r>
        <w:rPr>
          <w:rFonts w:ascii="Calibri" w:hAnsi="Calibri"/>
          <w:b/>
          <w:i w:val="0"/>
          <w:sz w:val="18"/>
        </w:rPr>
        <w:t>c4.L4.a1  ·  EXPLICIT</w:t>
      </w:r>
    </w:p>
    <w:p>
      <w:pPr>
        <w:spacing w:after="20" w:before="0"/>
        <w:ind w:left="280"/>
      </w:pPr>
      <w:r>
        <w:rPr>
          <w:rFonts w:ascii="Calibri" w:hAnsi="Calibri"/>
          <w:b w:val="0"/>
          <w:i/>
          <w:color w:val="142B4A"/>
          <w:sz w:val="18"/>
        </w:rPr>
        <w:t>wherein said melatonin receptor agonist is administered to said subject about 1 hour before the patient's bedtime.</w:t>
      </w:r>
    </w:p>
    <w:p>
      <w:pPr>
        <w:spacing w:after="60" w:before="0"/>
      </w:pPr>
      <w:r>
        <w:rPr>
          <w:rFonts w:ascii="Calibri" w:hAnsi="Calibri"/>
          <w:b w:val="0"/>
          <w:i w:val="0"/>
          <w:color w:val="595959"/>
          <w:sz w:val="16"/>
        </w:rPr>
        <w:t>Locator: Claim 16</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US20060094705A1 (Edgar et al.)</w:t>
      </w:r>
    </w:p>
    <w:p>
      <w:pPr>
        <w:spacing w:after="80" w:before="0"/>
      </w:pPr>
      <w:r>
        <w:rPr>
          <w:rFonts w:ascii="Calibri" w:hAnsi="Calibri"/>
          <w:b w:val="0"/>
          <w:i w:val="0"/>
          <w:color w:val="595959"/>
          <w:sz w:val="16"/>
        </w:rPr>
        <w:t>EDGAR DALE; HANGAUER DAVID  et al.  ·  pub. 2006-05-04  ·  published before the subject's priority date  ·  channel: eligible</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jet lag, shift-work disorders, delayed sleep phase syndrome, advanced sleep phase syndrome and non-24 hour sleep-wake disorder.</w:t>
      </w:r>
    </w:p>
    <w:p>
      <w:pPr>
        <w:spacing w:after="60" w:before="0"/>
      </w:pPr>
      <w:r>
        <w:rPr>
          <w:rFonts w:ascii="Calibri" w:hAnsi="Calibri"/>
          <w:b w:val="0"/>
          <w:i w:val="0"/>
          <w:color w:val="595959"/>
          <w:sz w:val="16"/>
        </w:rPr>
        <w:t>Locator: Summary of the Invention</w:t>
      </w:r>
    </w:p>
    <w:p>
      <w:pPr>
        <w:spacing w:after="20" w:before="0"/>
      </w:pPr>
      <w:r>
        <w:rPr>
          <w:rFonts w:ascii="Calibri" w:hAnsi="Calibri"/>
          <w:b/>
          <w:i w:val="0"/>
          <w:sz w:val="18"/>
        </w:rPr>
        <w:t>c4.L1.a1  ·  EXPLICIT</w:t>
      </w:r>
    </w:p>
    <w:p>
      <w:pPr>
        <w:spacing w:after="20" w:before="0"/>
        <w:ind w:left="280"/>
      </w:pPr>
      <w:r>
        <w:rPr>
          <w:rFonts w:ascii="Calibri" w:hAnsi="Calibri"/>
          <w:b w:val="0"/>
          <w:i/>
          <w:color w:val="142B4A"/>
          <w:sz w:val="18"/>
        </w:rPr>
        <w:t>In one embodiment, the compound is administered orally.</w:t>
      </w:r>
    </w:p>
    <w:p>
      <w:pPr>
        <w:spacing w:after="60" w:before="0"/>
      </w:pPr>
      <w:r>
        <w:rPr>
          <w:rFonts w:ascii="Calibri" w:hAnsi="Calibri"/>
          <w:b w:val="0"/>
          <w:i w:val="0"/>
          <w:color w:val="595959"/>
          <w:sz w:val="16"/>
        </w:rPr>
        <w:t>Locator: Detailed Description, administration routes</w:t>
      </w:r>
    </w:p>
    <w:p>
      <w:pPr>
        <w:spacing w:after="20" w:before="0"/>
      </w:pPr>
      <w:r>
        <w:rPr>
          <w:rFonts w:ascii="Calibri" w:hAnsi="Calibri"/>
          <w:b/>
          <w:i w:val="0"/>
          <w:sz w:val="18"/>
        </w:rPr>
        <w:t>c4.L3.a1  ·  AMBIGUOUS</w:t>
      </w:r>
    </w:p>
    <w:p>
      <w:pPr>
        <w:spacing w:after="20" w:before="0"/>
        <w:ind w:left="280"/>
      </w:pPr>
      <w:r>
        <w:rPr>
          <w:rFonts w:ascii="Calibri" w:hAnsi="Calibri"/>
          <w:b w:val="0"/>
          <w:i/>
          <w:color w:val="142B4A"/>
          <w:sz w:val="18"/>
        </w:rPr>
        <w:t>Oral dosages of the present invention, when used for the indicated effects, will range between about 0.05 to 5000 mg/day orally.</w:t>
      </w:r>
    </w:p>
    <w:p>
      <w:pPr>
        <w:spacing w:after="60" w:before="0"/>
      </w:pPr>
      <w:r>
        <w:rPr>
          <w:rFonts w:ascii="Calibri" w:hAnsi="Calibri"/>
          <w:b w:val="0"/>
          <w:i w:val="0"/>
          <w:color w:val="595959"/>
          <w:sz w:val="16"/>
        </w:rPr>
        <w:t>Locator: Dosage regimen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US7326721B2 (Edgar et al.)</w:t>
      </w:r>
    </w:p>
    <w:p>
      <w:pPr>
        <w:spacing w:after="80" w:before="0"/>
      </w:pPr>
      <w:r>
        <w:rPr>
          <w:rFonts w:ascii="Calibri" w:hAnsi="Calibri"/>
          <w:b w:val="0"/>
          <w:i w:val="0"/>
          <w:color w:val="595959"/>
          <w:sz w:val="16"/>
        </w:rPr>
        <w:t>HYPNION INC  ·  pub. 2008-02-05  ·  published before the subject's priority date  ·  channel: eligible</w:t>
      </w:r>
    </w:p>
    <w:p>
      <w:pPr>
        <w:spacing w:after="20" w:before="0"/>
      </w:pPr>
      <w:r>
        <w:rPr>
          <w:rFonts w:ascii="Calibri" w:hAnsi="Calibri"/>
          <w:b/>
          <w:i w:val="0"/>
          <w:sz w:val="18"/>
        </w:rPr>
        <w:t>c1.L1.a1  ·  AMBIGUOUS</w:t>
      </w:r>
    </w:p>
    <w:p>
      <w:pPr>
        <w:spacing w:after="20" w:before="0"/>
        <w:ind w:left="280"/>
      </w:pPr>
      <w:r>
        <w:rPr>
          <w:rFonts w:ascii="Calibri" w:hAnsi="Calibri"/>
          <w:b w:val="0"/>
          <w:i/>
          <w:color w:val="142B4A"/>
          <w:sz w:val="18"/>
        </w:rPr>
        <w:t>In one embodiment, the method treats circadian rhythm abnormalities including jet lag, shift-work disorders, delayed sleep phase syndrome, advanced sleep phase syndrome and non-24 hour sleep-wake disorder.</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non-24 hour sleep-wake disorder</w:t>
      </w:r>
    </w:p>
    <w:p>
      <w:pPr>
        <w:spacing w:after="60" w:before="0"/>
      </w:pPr>
      <w:r>
        <w:rPr>
          <w:rFonts w:ascii="Calibri" w:hAnsi="Calibri"/>
          <w:b w:val="0"/>
          <w:i w:val="0"/>
          <w:color w:val="595959"/>
          <w:sz w:val="16"/>
        </w:rPr>
        <w:t>Locator: Definitions / Circadian rhythm sleep disorders list</w:t>
      </w:r>
    </w:p>
    <w:p>
      <w:pPr>
        <w:spacing w:after="20" w:before="0"/>
      </w:pPr>
      <w:r>
        <w:rPr>
          <w:rFonts w:ascii="Calibri" w:hAnsi="Calibri"/>
          <w:b/>
          <w:i w:val="0"/>
          <w:sz w:val="18"/>
        </w:rPr>
        <w:t>c4.L1.a1  ·  EXPLICIT</w:t>
      </w:r>
    </w:p>
    <w:p>
      <w:pPr>
        <w:spacing w:after="20" w:before="0"/>
        <w:ind w:left="280"/>
      </w:pPr>
      <w:r>
        <w:rPr>
          <w:rFonts w:ascii="Calibri" w:hAnsi="Calibri"/>
          <w:b w:val="0"/>
          <w:i/>
          <w:color w:val="142B4A"/>
          <w:sz w:val="18"/>
        </w:rPr>
        <w:t>In a preferred embodiment, the compound is administered orally.</w:t>
      </w:r>
    </w:p>
    <w:p>
      <w:pPr>
        <w:spacing w:after="60" w:before="0"/>
      </w:pPr>
      <w:r>
        <w:rPr>
          <w:rFonts w:ascii="Calibri" w:hAnsi="Calibri"/>
          <w:b w:val="0"/>
          <w:i w:val="0"/>
          <w:color w:val="595959"/>
          <w:sz w:val="16"/>
        </w:rPr>
        <w:t>Locator: Detailed Description, modulating sleep method section</w:t>
      </w:r>
    </w:p>
    <w:p>
      <w:pPr>
        <w:spacing w:after="20" w:before="0"/>
      </w:pPr>
      <w:r>
        <w:rPr>
          <w:rFonts w:ascii="Calibri" w:hAnsi="Calibri"/>
          <w:b/>
          <w:i w:val="0"/>
          <w:sz w:val="18"/>
        </w:rPr>
        <w:t>c4.L3.a1  ·  AMBIGUOUS</w:t>
      </w:r>
    </w:p>
    <w:p>
      <w:pPr>
        <w:spacing w:after="20" w:before="0"/>
        <w:ind w:left="280"/>
      </w:pPr>
      <w:r>
        <w:rPr>
          <w:rFonts w:ascii="Calibri" w:hAnsi="Calibri"/>
          <w:b w:val="0"/>
          <w:i/>
          <w:color w:val="142B4A"/>
          <w:sz w:val="18"/>
        </w:rPr>
        <w:t>Oral dosages of the present invention, when used for the indicated effects, will range between about 0.05 to 5000 mg/day orally.</w:t>
      </w:r>
    </w:p>
    <w:p>
      <w:pPr>
        <w:spacing w:after="60" w:before="0"/>
      </w:pPr>
      <w:r>
        <w:rPr>
          <w:rFonts w:ascii="Calibri" w:hAnsi="Calibri"/>
          <w:b w:val="0"/>
          <w:i w:val="0"/>
          <w:color w:val="595959"/>
          <w:sz w:val="16"/>
        </w:rPr>
        <w:t>Locator: Dosage Regimen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US20070123571A1 (Raj et al.)</w:t>
      </w:r>
    </w:p>
    <w:p>
      <w:pPr>
        <w:spacing w:after="80" w:before="0"/>
      </w:pPr>
      <w:r>
        <w:rPr>
          <w:rFonts w:ascii="Calibri" w:hAnsi="Calibri"/>
          <w:b w:val="0"/>
          <w:i w:val="0"/>
          <w:color w:val="595959"/>
          <w:sz w:val="16"/>
        </w:rPr>
        <w:t>RAJ PALANISWAMY S; SHEPHARD ADRAIN  et al.  ·  pub. 2007-05-31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most commonly the active ingredient will be administered orally.</w:t>
      </w:r>
    </w:p>
    <w:p>
      <w:pPr>
        <w:spacing w:after="60" w:before="0"/>
      </w:pPr>
      <w:r>
        <w:rPr>
          <w:rFonts w:ascii="Calibri" w:hAnsi="Calibri"/>
          <w:b w:val="0"/>
          <w:i w:val="0"/>
          <w:color w:val="595959"/>
          <w:sz w:val="16"/>
        </w:rPr>
        <w:t>Locator: Description, administration routes</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Especially, preferred is 1 dose per day.</w:t>
      </w:r>
    </w:p>
    <w:p>
      <w:pPr>
        <w:spacing w:after="60" w:before="0"/>
      </w:pPr>
      <w:r>
        <w:rPr>
          <w:rFonts w:ascii="Calibri" w:hAnsi="Calibri"/>
          <w:b w:val="0"/>
          <w:i w:val="0"/>
          <w:color w:val="595959"/>
          <w:sz w:val="16"/>
        </w:rPr>
        <w:t>Locator: Description, dosing frequency</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the dose of triprolidine and further active agent in accordance with the invention may be taken by an individual before it is desired to go to sleep (sleeptime)</w:t>
      </w:r>
    </w:p>
    <w:p>
      <w:pPr>
        <w:spacing w:after="60" w:before="0"/>
      </w:pPr>
      <w:r>
        <w:rPr>
          <w:rFonts w:ascii="Calibri" w:hAnsi="Calibri"/>
          <w:b w:val="0"/>
          <w:i w:val="0"/>
          <w:color w:val="595959"/>
          <w:sz w:val="16"/>
        </w:rPr>
        <w:t>Locator: Description, dosing timing</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US20030008912A1 (Lewy et al.)</w:t>
      </w:r>
    </w:p>
    <w:p>
      <w:pPr>
        <w:spacing w:after="80" w:before="0"/>
      </w:pPr>
      <w:r>
        <w:rPr>
          <w:rFonts w:ascii="Calibri" w:hAnsi="Calibri"/>
          <w:b w:val="0"/>
          <w:i w:val="0"/>
          <w:color w:val="595959"/>
          <w:sz w:val="16"/>
        </w:rPr>
        <w:t>LEWY ALFRED J; SACK ROBERT L  ·  pub. 2003-01-09  ·  published before the subject's priority date  ·  channel: eligible</w:t>
      </w:r>
    </w:p>
    <w:p>
      <w:pPr>
        <w:spacing w:after="20" w:before="0"/>
      </w:pPr>
      <w:r>
        <w:rPr>
          <w:rFonts w:ascii="Calibri" w:hAnsi="Calibri"/>
          <w:b/>
          <w:i w:val="0"/>
          <w:sz w:val="18"/>
        </w:rPr>
        <w:t>c1.L1.a1  ·  STRUCTURAL_INFERENCE</w:t>
      </w:r>
    </w:p>
    <w:p>
      <w:pPr>
        <w:spacing w:after="20" w:before="0"/>
        <w:ind w:left="280"/>
      </w:pPr>
      <w:r>
        <w:rPr>
          <w:rFonts w:ascii="Calibri" w:hAnsi="Calibri"/>
          <w:b w:val="0"/>
          <w:i/>
          <w:color w:val="142B4A"/>
          <w:sz w:val="18"/>
        </w:rPr>
        <w:t>This invention relates to methods for achieving a chronobiologic (phase-shifting) effect in a human.</w:t>
      </w:r>
    </w:p>
    <w:p>
      <w:pPr>
        <w:spacing w:after="60" w:before="0"/>
      </w:pPr>
      <w:r>
        <w:rPr>
          <w:rFonts w:ascii="Calibri" w:hAnsi="Calibri"/>
          <w:b w:val="0"/>
          <w:i w:val="0"/>
          <w:color w:val="595959"/>
          <w:sz w:val="16"/>
        </w:rPr>
        <w:t>Locator: Summary of Invention</w:t>
      </w:r>
    </w:p>
    <w:p>
      <w:pPr>
        <w:spacing w:after="20" w:before="0"/>
      </w:pPr>
      <w:r>
        <w:rPr>
          <w:rFonts w:ascii="Calibri" w:hAnsi="Calibri"/>
          <w:b/>
          <w:i w:val="0"/>
          <w:sz w:val="18"/>
        </w:rPr>
        <w:t>c3.L1.a1  ·  AMBIGUOUS</w:t>
      </w:r>
    </w:p>
    <w:p>
      <w:pPr>
        <w:spacing w:after="20" w:before="0"/>
        <w:ind w:left="280"/>
      </w:pPr>
      <w:r>
        <w:rPr>
          <w:rFonts w:ascii="Calibri" w:hAnsi="Calibri"/>
          <w:b w:val="0"/>
          <w:i/>
          <w:color w:val="142B4A"/>
          <w:sz w:val="18"/>
        </w:rPr>
        <w:t>the blind or sight-impaired, or all those whose ability to distinguish differences in light and dark may be permanently or temporarily impaired</w:t>
      </w:r>
    </w:p>
    <w:p>
      <w:pPr>
        <w:spacing w:after="60" w:before="0"/>
      </w:pPr>
      <w:r>
        <w:rPr>
          <w:rFonts w:ascii="Calibri" w:hAnsi="Calibri"/>
          <w:b w:val="0"/>
          <w:i w:val="0"/>
          <w:color w:val="595959"/>
          <w:sz w:val="16"/>
        </w:rPr>
        <w:t>Locator: Detailed Description, list of applications</w:t>
      </w:r>
    </w:p>
    <w:p>
      <w:pPr>
        <w:spacing w:after="20" w:before="0"/>
      </w:pPr>
      <w:r>
        <w:rPr>
          <w:rFonts w:ascii="Calibri" w:hAnsi="Calibri"/>
          <w:b/>
          <w:i w:val="0"/>
          <w:sz w:val="18"/>
        </w:rPr>
        <w:t>c4.L1.a1  ·  STRUCTURAL_INFERENCE</w:t>
      </w:r>
    </w:p>
    <w:p>
      <w:pPr>
        <w:spacing w:after="20" w:before="0"/>
        <w:ind w:left="280"/>
      </w:pPr>
      <w:r>
        <w:rPr>
          <w:rFonts w:ascii="Calibri" w:hAnsi="Calibri"/>
          <w:b w:val="0"/>
          <w:i/>
          <w:color w:val="142B4A"/>
          <w:sz w:val="18"/>
        </w:rPr>
        <w:t>In a preferred embodiment of this invention, melatonin is administered orally.</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c4.L2.a1  ·  NOT_FOUND</w:t>
      </w:r>
    </w:p>
    <w:p>
      <w:pPr>
        <w:spacing w:after="20" w:before="0"/>
        <w:ind w:left="280"/>
      </w:pPr>
      <w:r>
        <w:rPr>
          <w:rFonts w:ascii="Calibri" w:hAnsi="Calibri"/>
          <w:b w:val="0"/>
          <w:i/>
          <w:color w:val="142B4A"/>
          <w:sz w:val="18"/>
        </w:rPr>
        <w:t>melatonin is administered in dosages preferably from about 0.05 to 5 mg</w:t>
      </w:r>
    </w:p>
    <w:p>
      <w:pPr>
        <w:spacing w:after="60" w:before="0"/>
      </w:pPr>
      <w:r>
        <w:rPr>
          <w:rFonts w:ascii="Calibri" w:hAnsi="Calibri"/>
          <w:b w:val="0"/>
          <w:i w:val="0"/>
          <w:color w:val="595959"/>
          <w:sz w:val="16"/>
        </w:rPr>
        <w:t>Locator: Summary of Invention</w:t>
      </w:r>
    </w:p>
    <w:p>
      <w:pPr>
        <w:spacing w:after="20" w:before="0"/>
      </w:pPr>
      <w:r>
        <w:rPr>
          <w:rFonts w:ascii="Calibri" w:hAnsi="Calibri"/>
          <w:b/>
          <w:i w:val="0"/>
          <w:sz w:val="18"/>
        </w:rPr>
        <w:t>c4.L3.a1  ·  STRUCTURAL_INFERENCE</w:t>
      </w:r>
    </w:p>
    <w:p>
      <w:pPr>
        <w:spacing w:after="20" w:before="0"/>
        <w:ind w:left="280"/>
      </w:pPr>
      <w:r>
        <w:rPr>
          <w:rFonts w:ascii="Calibri" w:hAnsi="Calibri"/>
          <w:b w:val="0"/>
          <w:i/>
          <w:color w:val="142B4A"/>
          <w:sz w:val="18"/>
        </w:rPr>
        <w:t>In a preferred embodiment, the total dose of melatonin is given in one dose.</w:t>
      </w:r>
    </w:p>
    <w:p>
      <w:pPr>
        <w:spacing w:after="60" w:before="0"/>
      </w:pPr>
      <w:r>
        <w:rPr>
          <w:rFonts w:ascii="Calibri" w:hAnsi="Calibri"/>
          <w:b w:val="0"/>
          <w:i w:val="0"/>
          <w:color w:val="595959"/>
          <w:sz w:val="16"/>
        </w:rPr>
        <w:t>Locator: Summary of Invention</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Arendt et al., 1987, Ergonomics 30: 1379-1393 disclose the administration of melatonin to alleviate jet lag by oral administration of exogenous melatonin 4 to 6 hours prior to the human's normal bedtime</w:t>
      </w:r>
    </w:p>
    <w:p>
      <w:pPr>
        <w:spacing w:after="60" w:before="0"/>
      </w:pPr>
      <w:r>
        <w:rPr>
          <w:rFonts w:ascii="Calibri" w:hAnsi="Calibri"/>
          <w:b w:val="0"/>
          <w:i w:val="0"/>
          <w:color w:val="595959"/>
          <w:sz w:val="16"/>
        </w:rPr>
        <w:t>Locator: Background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US20100105614A1 (Jochelson)</w:t>
      </w:r>
      <w:r>
        <w:rPr>
          <w:rFonts w:ascii="Calibri" w:hAnsi="Calibri"/>
          <w:b w:val="0"/>
          <w:i w:val="0"/>
          <w:color w:val="142B4A"/>
          <w:sz w:val="20"/>
        </w:rPr>
        <w:t xml:space="preserve">  ULTRA LOW DOSE DOXEPIN AND METHODS OF USING THE SAME TO TREAT SLEEP DISORDERS</w:t>
      </w:r>
    </w:p>
    <w:p>
      <w:pPr>
        <w:spacing w:after="80" w:before="0"/>
      </w:pPr>
      <w:r>
        <w:rPr>
          <w:rFonts w:ascii="Calibri" w:hAnsi="Calibri"/>
          <w:b w:val="0"/>
          <w:i w:val="0"/>
          <w:color w:val="595959"/>
          <w:sz w:val="16"/>
        </w:rPr>
        <w:t>SOMAXON PHARMACEUTICALS INC  ·  pub. 2010-04-29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Administration though oral pathways can be accomplished, for example, using a capsule, a tablet, a granule, a spray, a syrup, a liquid, powder, granules, pastes</w:t>
      </w:r>
    </w:p>
    <w:p>
      <w:pPr>
        <w:spacing w:after="60" w:before="0"/>
      </w:pPr>
      <w:r>
        <w:rPr>
          <w:rFonts w:ascii="Calibri" w:hAnsi="Calibri"/>
          <w:b w:val="0"/>
          <w:i w:val="0"/>
          <w:color w:val="595959"/>
          <w:sz w:val="16"/>
        </w:rPr>
        <w:t>Locator: Pharmaceutical Compositions and Administration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daily dosages may vary from about 0.0001 to about 0.49 milligrams</w:t>
      </w:r>
    </w:p>
    <w:p>
      <w:pPr>
        <w:spacing w:after="60" w:before="0"/>
      </w:pPr>
      <w:r>
        <w:rPr>
          <w:rFonts w:ascii="Calibri" w:hAnsi="Calibri"/>
          <w:b w:val="0"/>
          <w:i w:val="0"/>
          <w:color w:val="595959"/>
          <w:sz w:val="16"/>
        </w:rPr>
        <w:t>Locator: Dosages section</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For the treatment of insomnia, preferably one dose is administered prior to bedtime.</w:t>
      </w:r>
    </w:p>
    <w:p>
      <w:pPr>
        <w:spacing w:after="60" w:before="0"/>
      </w:pPr>
      <w:r>
        <w:rPr>
          <w:rFonts w:ascii="Calibri" w:hAnsi="Calibri"/>
          <w:b w:val="0"/>
          <w:i w:val="0"/>
          <w:color w:val="595959"/>
          <w:sz w:val="16"/>
        </w:rPr>
        <w:t>Locator: Dosages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US20050119283A1 (Matos et al.)</w:t>
      </w:r>
    </w:p>
    <w:p>
      <w:pPr>
        <w:spacing w:after="80" w:before="0"/>
      </w:pPr>
      <w:r>
        <w:rPr>
          <w:rFonts w:ascii="Calibri" w:hAnsi="Calibri"/>
          <w:b w:val="0"/>
          <w:i w:val="0"/>
          <w:color w:val="595959"/>
          <w:sz w:val="16"/>
        </w:rPr>
        <w:t>PFIZER  ·  pub. 2005-06-02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A method of treating circadian rhythm disorders in mammals including humans comprising administering to a mammal an amount of an NPY Y5 antagonist effective in treating circadian rhythm disorders.</w:t>
      </w:r>
    </w:p>
    <w:p>
      <w:pPr>
        <w:spacing w:after="60" w:before="0"/>
      </w:pPr>
      <w:r>
        <w:rPr>
          <w:rFonts w:ascii="Calibri" w:hAnsi="Calibri"/>
          <w:b w:val="0"/>
          <w:i w:val="0"/>
          <w:color w:val="595959"/>
          <w:sz w:val="16"/>
        </w:rPr>
        <w:t>Locator: Claim 7</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non-24-hour sleep-wake disorder</w:t>
      </w:r>
    </w:p>
    <w:p>
      <w:pPr>
        <w:spacing w:after="60" w:before="0"/>
      </w:pPr>
      <w:r>
        <w:rPr>
          <w:rFonts w:ascii="Calibri" w:hAnsi="Calibri"/>
          <w:b w:val="0"/>
          <w:i w:val="0"/>
          <w:color w:val="595959"/>
          <w:sz w:val="16"/>
        </w:rPr>
        <w:t>Locator: Background/Summary list of disorders</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Suitable forms of oral administration include tablets, capsules, powders, granules and oral solutions or suspensions, sublingual and buccal forms of administration.</w:t>
      </w:r>
    </w:p>
    <w:p>
      <w:pPr>
        <w:spacing w:after="60" w:before="0"/>
      </w:pPr>
      <w:r>
        <w:rPr>
          <w:rFonts w:ascii="Calibri" w:hAnsi="Calibri"/>
          <w:b w:val="0"/>
          <w:i w:val="0"/>
          <w:color w:val="595959"/>
          <w:sz w:val="16"/>
        </w:rPr>
        <w:t>Locator: Detailed Description, formulation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which could be administered, for example, 1 to 4 times per day</w:t>
      </w:r>
    </w:p>
    <w:p>
      <w:pPr>
        <w:spacing w:after="60" w:before="0"/>
      </w:pPr>
      <w:r>
        <w:rPr>
          <w:rFonts w:ascii="Calibri" w:hAnsi="Calibri"/>
          <w:b w:val="0"/>
          <w:i w:val="0"/>
          <w:color w:val="595959"/>
          <w:sz w:val="16"/>
        </w:rPr>
        <w:t>Locator: Detailed Description, dosing paragraph</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US7652046B2 (Fink et al.)</w:t>
      </w:r>
      <w:r>
        <w:rPr>
          <w:rFonts w:ascii="Calibri" w:hAnsi="Calibri"/>
          <w:b w:val="0"/>
          <w:i w:val="0"/>
          <w:color w:val="142B4A"/>
          <w:sz w:val="20"/>
        </w:rPr>
        <w:t xml:space="preserve">  Substituted thienopyrrole carboxylic acid amides, pyrrolothiazole carboxylic acid amides, and related analogs as inhibitors of casein kinase I</w:t>
      </w:r>
    </w:p>
    <w:p>
      <w:pPr>
        <w:spacing w:after="80" w:before="0"/>
      </w:pPr>
      <w:r>
        <w:rPr>
          <w:rFonts w:ascii="Calibri" w:hAnsi="Calibri"/>
          <w:b w:val="0"/>
          <w:i w:val="0"/>
          <w:color w:val="595959"/>
          <w:sz w:val="16"/>
        </w:rPr>
        <w:t>AVENTIS PHARMA INC  ·  pub. 2010-01-26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For oral administration, the compounds of the present invention can be formulated into solid or liquid preparations, with or without inert diluents or edible carriers, such as capsules, pills, tablets, troches, powders, solutions, suspensions or emulsions.</w:t>
      </w:r>
    </w:p>
    <w:p>
      <w:pPr>
        <w:spacing w:after="60" w:before="0"/>
      </w:pPr>
      <w:r>
        <w:rPr>
          <w:rFonts w:ascii="Calibri" w:hAnsi="Calibri"/>
          <w:b w:val="0"/>
          <w:i w:val="0"/>
          <w:color w:val="595959"/>
          <w:sz w:val="16"/>
        </w:rPr>
        <w:t>Locator: Pharmaceutical Compositions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The compounds of the present invention may be administered on a regimen of 1 to 4 times per day and as dictated by the nature of the disease, disorder or condition to be treated.</w:t>
      </w:r>
    </w:p>
    <w:p>
      <w:pPr>
        <w:spacing w:after="60" w:before="0"/>
      </w:pPr>
      <w:r>
        <w:rPr>
          <w:rFonts w:ascii="Calibri" w:hAnsi="Calibri"/>
          <w:b w:val="0"/>
          <w:i w:val="0"/>
          <w:color w:val="595959"/>
          <w:sz w:val="16"/>
        </w:rPr>
        <w:t>Locator: Dosage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US20070270393A1 (Buckley et al.)</w:t>
      </w:r>
      <w:r>
        <w:rPr>
          <w:rFonts w:ascii="Calibri" w:hAnsi="Calibri"/>
          <w:b w:val="0"/>
          <w:i w:val="0"/>
          <w:color w:val="142B4A"/>
          <w:sz w:val="20"/>
        </w:rPr>
        <w:t xml:space="preserve">  Methods and compositions for modulation of sleep cycle</w:t>
      </w:r>
    </w:p>
    <w:p>
      <w:pPr>
        <w:spacing w:after="80" w:before="0"/>
      </w:pPr>
      <w:r>
        <w:rPr>
          <w:rFonts w:ascii="Calibri" w:hAnsi="Calibri"/>
          <w:b w:val="0"/>
          <w:i w:val="0"/>
          <w:color w:val="595959"/>
          <w:sz w:val="16"/>
        </w:rPr>
        <w:t>BUCKLEY THERESA; SCHATZBERG ALAN F  ·  pub. 2007-11-22  ·  published before the subject's priority date  ·  channel: eligible</w:t>
      </w:r>
    </w:p>
    <w:p>
      <w:pPr>
        <w:spacing w:after="20" w:before="0"/>
      </w:pPr>
      <w:r>
        <w:rPr>
          <w:rFonts w:ascii="Calibri" w:hAnsi="Calibri"/>
          <w:b/>
          <w:i w:val="0"/>
          <w:sz w:val="18"/>
        </w:rPr>
        <w:t>c2.L1.a1  ·  PARTIAL</w:t>
      </w:r>
    </w:p>
    <w:p>
      <w:pPr>
        <w:spacing w:after="20" w:before="0"/>
        <w:ind w:left="280"/>
      </w:pPr>
      <w:r>
        <w:rPr>
          <w:rFonts w:ascii="Calibri" w:hAnsi="Calibri"/>
          <w:b w:val="0"/>
          <w:i/>
          <w:color w:val="142B4A"/>
          <w:sz w:val="18"/>
        </w:rPr>
        <w:t>In other embodiments the sleep disorder is Circadian Rhythm Sleep Disorder, Free-Running Type.</w:t>
      </w:r>
    </w:p>
    <w:p>
      <w:pPr>
        <w:spacing w:after="60" w:before="0"/>
      </w:pPr>
      <w:r>
        <w:rPr>
          <w:rFonts w:ascii="Calibri" w:hAnsi="Calibri"/>
          <w:b w:val="0"/>
          <w:i w:val="0"/>
          <w:color w:val="595959"/>
          <w:sz w:val="16"/>
        </w:rPr>
        <w:t>Locator: Summary</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The GR antagonists used in the methods of the invention can be administered by any means known in the art, e.g., parenterally, topically, orally, or by local administration</w:t>
      </w:r>
    </w:p>
    <w:p>
      <w:pPr>
        <w:spacing w:after="60" w:before="0"/>
      </w:pPr>
      <w:r>
        <w:rPr>
          <w:rFonts w:ascii="Calibri" w:hAnsi="Calibri"/>
          <w:b w:val="0"/>
          <w:i w:val="0"/>
          <w:color w:val="595959"/>
          <w:sz w:val="16"/>
        </w:rPr>
        <w:t>Locator: Detailed Description, Formulation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Single or multiple administrations of GR antagonist formulations can be administered depending on the dosage and frequency as required and tolerated by the subject.</w:t>
      </w:r>
    </w:p>
    <w:p>
      <w:pPr>
        <w:spacing w:after="60" w:before="0"/>
      </w:pPr>
      <w:r>
        <w:rPr>
          <w:rFonts w:ascii="Calibri" w:hAnsi="Calibri"/>
          <w:b w:val="0"/>
          <w:i w:val="0"/>
          <w:color w:val="595959"/>
          <w:sz w:val="16"/>
        </w:rPr>
        <w:t>Locator: Dosage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US8673916B2 (Bacon et al.)</w:t>
      </w:r>
    </w:p>
    <w:p>
      <w:pPr>
        <w:spacing w:after="80" w:before="0"/>
      </w:pPr>
      <w:r>
        <w:rPr>
          <w:rFonts w:ascii="Calibri" w:hAnsi="Calibri"/>
          <w:b w:val="0"/>
          <w:i w:val="0"/>
          <w:color w:val="595959"/>
          <w:sz w:val="16"/>
        </w:rPr>
        <w:t>BACON EDWARD R; BAILEY THOMAS R  et al.  ·  pub. 2014-03-18  ·  earlier-filed, later-published (§ 102(a)(2))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Preferably the compositions are prepared for oral administration, particularly in the form of tablets, capsules or syrups;</w:t>
      </w:r>
    </w:p>
    <w:p>
      <w:pPr>
        <w:spacing w:after="60" w:before="0"/>
      </w:pPr>
      <w:r>
        <w:rPr>
          <w:rFonts w:ascii="Calibri" w:hAnsi="Calibri"/>
          <w:b w:val="0"/>
          <w:i w:val="0"/>
          <w:color w:val="595959"/>
          <w:sz w:val="16"/>
        </w:rPr>
        <w:t>Locator: Detailed Description, formulation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Typical dose ranges are from about 0.01 mg/kg to about 100 mg/kg of body weight per day</w:t>
      </w:r>
    </w:p>
    <w:p>
      <w:pPr>
        <w:spacing w:after="60" w:before="0"/>
      </w:pPr>
      <w:r>
        <w:rPr>
          <w:rFonts w:ascii="Calibri" w:hAnsi="Calibri"/>
          <w:b w:val="0"/>
          <w:i w:val="0"/>
          <w:color w:val="595959"/>
          <w:sz w:val="16"/>
        </w:rPr>
        <w:t>Locator: Detailed Description, dosing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US20080182890A1 (Jochelson et al.)</w:t>
      </w:r>
      <w:r>
        <w:rPr>
          <w:rFonts w:ascii="Calibri" w:hAnsi="Calibri"/>
          <w:b w:val="0"/>
          <w:i w:val="0"/>
          <w:color w:val="142B4A"/>
          <w:sz w:val="20"/>
        </w:rPr>
        <w:t xml:space="preserve">  METHODS OF USING LOW-DOSE DOXEPIN FOR THE IMPROVEMENT OF SLEEP</w:t>
      </w:r>
    </w:p>
    <w:p>
      <w:pPr>
        <w:spacing w:after="80" w:before="0"/>
      </w:pPr>
      <w:r>
        <w:rPr>
          <w:rFonts w:ascii="Calibri" w:hAnsi="Calibri"/>
          <w:b w:val="0"/>
          <w:i w:val="0"/>
          <w:color w:val="595959"/>
          <w:sz w:val="16"/>
        </w:rPr>
        <w:t>SOMAXON PHARMACEUTICALS INC  ·  pub. 2008-07-31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For oral administration, the compounds can be formulated as pills, tablets, powders, granules, dragees, capsules, liquids, sprays, gels, syrups, slurries, suspensions and the like, in bulk or unit dosage forms, for oral ingestion by a patient to be treated.</w:t>
      </w:r>
    </w:p>
    <w:p>
      <w:pPr>
        <w:spacing w:after="60" w:before="0"/>
      </w:pPr>
      <w:r>
        <w:rPr>
          <w:rFonts w:ascii="Calibri" w:hAnsi="Calibri"/>
          <w:b w:val="0"/>
          <w:i w:val="0"/>
          <w:color w:val="595959"/>
          <w:sz w:val="16"/>
        </w:rPr>
        <w:t>Locator: Preparation and Administration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For the treatment of insomnia, preferably one dose is administered prior to bedtime.</w:t>
      </w:r>
    </w:p>
    <w:p>
      <w:pPr>
        <w:spacing w:after="60" w:before="0"/>
      </w:pPr>
      <w:r>
        <w:rPr>
          <w:rFonts w:ascii="Calibri" w:hAnsi="Calibri"/>
          <w:b w:val="0"/>
          <w:i w:val="0"/>
          <w:color w:val="595959"/>
          <w:sz w:val="16"/>
        </w:rPr>
        <w:t>Locator: Dosage section</w:t>
      </w:r>
    </w:p>
    <w:p>
      <w:pPr>
        <w:spacing w:after="20" w:before="0"/>
      </w:pPr>
      <w:r>
        <w:rPr>
          <w:rFonts w:ascii="Calibri" w:hAnsi="Calibri"/>
          <w:b/>
          <w:i w:val="0"/>
          <w:sz w:val="18"/>
        </w:rPr>
        <w:t>c4.L4.a1  ·  EXPLICIT</w:t>
      </w:r>
    </w:p>
    <w:p>
      <w:pPr>
        <w:spacing w:after="20" w:before="0"/>
        <w:ind w:left="280"/>
      </w:pPr>
      <w:r>
        <w:rPr>
          <w:rFonts w:ascii="Calibri" w:hAnsi="Calibri"/>
          <w:b w:val="0"/>
          <w:i/>
          <w:color w:val="142B4A"/>
          <w:sz w:val="18"/>
        </w:rPr>
        <w:t>For the treatment of insomnia, preferably one dose is administered prior to bedtime.</w:t>
      </w:r>
    </w:p>
    <w:p>
      <w:pPr>
        <w:spacing w:after="60" w:before="0"/>
      </w:pPr>
      <w:r>
        <w:rPr>
          <w:rFonts w:ascii="Calibri" w:hAnsi="Calibri"/>
          <w:b w:val="0"/>
          <w:i w:val="0"/>
          <w:color w:val="595959"/>
          <w:sz w:val="16"/>
        </w:rPr>
        <w:t>Locator: Dosage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US20060039866A1 (Rao et al.)</w:t>
      </w:r>
    </w:p>
    <w:p>
      <w:pPr>
        <w:spacing w:after="80" w:before="0"/>
      </w:pPr>
      <w:r>
        <w:rPr>
          <w:rFonts w:ascii="Calibri" w:hAnsi="Calibri"/>
          <w:b w:val="0"/>
          <w:i w:val="0"/>
          <w:color w:val="595959"/>
          <w:sz w:val="16"/>
        </w:rPr>
        <w:t>CYPRESS BIOSCIENCE INC  ·  pub. 2006-02-23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In the preferred embodiment the composition is administered orally.</w:t>
      </w:r>
    </w:p>
    <w:p>
      <w:pPr>
        <w:spacing w:after="60" w:before="0"/>
      </w:pPr>
      <w:r>
        <w:rPr>
          <w:rFonts w:ascii="Calibri" w:hAnsi="Calibri"/>
          <w:b w:val="0"/>
          <w:i w:val="0"/>
          <w:color w:val="595959"/>
          <w:sz w:val="16"/>
        </w:rPr>
        <w:t>Locator: D. Formulations</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Study drug is taken orally once daily before bedtime (nocte).</w:t>
      </w:r>
    </w:p>
    <w:p>
      <w:pPr>
        <w:spacing w:after="60" w:before="0"/>
      </w:pPr>
      <w:r>
        <w:rPr>
          <w:rFonts w:ascii="Calibri" w:hAnsi="Calibri"/>
          <w:b w:val="0"/>
          <w:i w:val="0"/>
          <w:color w:val="595959"/>
          <w:sz w:val="16"/>
        </w:rPr>
        <w:t>Locator: Example 2</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The combination may be administered before bed time which requires immediate release of mirtazapine for adequate treatment of sleep related breathing disorders throughout the night.</w:t>
      </w:r>
    </w:p>
    <w:p>
      <w:pPr>
        <w:spacing w:after="60" w:before="0"/>
      </w:pPr>
      <w:r>
        <w:rPr>
          <w:rFonts w:ascii="Calibri" w:hAnsi="Calibri"/>
          <w:b w:val="0"/>
          <w:i w:val="0"/>
          <w:color w:val="595959"/>
          <w:sz w:val="16"/>
        </w:rPr>
        <w:t>Locator: D. Formulations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US20090082340A1 (Metz et al.)</w:t>
      </w:r>
    </w:p>
    <w:p>
      <w:pPr>
        <w:spacing w:after="80" w:before="0"/>
      </w:pPr>
      <w:r>
        <w:rPr>
          <w:rFonts w:ascii="Calibri" w:hAnsi="Calibri"/>
          <w:b w:val="0"/>
          <w:i w:val="0"/>
          <w:color w:val="595959"/>
          <w:sz w:val="16"/>
        </w:rPr>
        <w:t>AVENTIS PHARMA INC  ·  pub. 2009-03-26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For oral administration, the compounds of the present invention can be formulated into solid or liquid preparations, with or without inert diluents or edible carriers, such as capsules, pills, tablets, troches, powders, solutions, suspensions or emulsions.</w:t>
      </w:r>
    </w:p>
    <w:p>
      <w:pPr>
        <w:spacing w:after="60" w:before="0"/>
      </w:pPr>
      <w:r>
        <w:rPr>
          <w:rFonts w:ascii="Calibri" w:hAnsi="Calibri"/>
          <w:b w:val="0"/>
          <w:i w:val="0"/>
          <w:color w:val="595959"/>
          <w:sz w:val="16"/>
        </w:rPr>
        <w:t>Locator: Pharmaceutical Compositions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The compounds of the present invention may be administered on a regimen of 1 to 4 times per day</w:t>
      </w:r>
    </w:p>
    <w:p>
      <w:pPr>
        <w:spacing w:after="60" w:before="0"/>
      </w:pPr>
      <w:r>
        <w:rPr>
          <w:rFonts w:ascii="Calibri" w:hAnsi="Calibri"/>
          <w:b w:val="0"/>
          <w:i w:val="0"/>
          <w:color w:val="595959"/>
          <w:sz w:val="16"/>
        </w:rPr>
        <w:t>Locator: Dosage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US20120302535A1 (Caufriez et al.)</w:t>
      </w:r>
      <w:r>
        <w:rPr>
          <w:rFonts w:ascii="Calibri" w:hAnsi="Calibri"/>
          <w:b w:val="0"/>
          <w:i w:val="0"/>
          <w:color w:val="142B4A"/>
          <w:sz w:val="20"/>
        </w:rPr>
        <w:t xml:space="preserve">  PROGESTERONE TREATMENT FOR IMPROVING SLEEP QUALITY</w:t>
      </w:r>
    </w:p>
    <w:p>
      <w:pPr>
        <w:spacing w:after="80" w:before="0"/>
      </w:pPr>
      <w:r>
        <w:rPr>
          <w:rFonts w:ascii="Calibri" w:hAnsi="Calibri"/>
          <w:b w:val="0"/>
          <w:i w:val="0"/>
          <w:color w:val="595959"/>
          <w:sz w:val="16"/>
        </w:rPr>
        <w:t>CAUFRIEZ ANNE; COPINSCHI GEORGES  et al.  ·  pub. 2012-11-29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In some embodiments, the method comprises oral administration of the progestogen.</w:t>
      </w:r>
    </w:p>
    <w:p>
      <w:pPr>
        <w:spacing w:after="60" w:before="0"/>
      </w:pPr>
      <w:r>
        <w:rPr>
          <w:rFonts w:ascii="Calibri" w:hAnsi="Calibri"/>
          <w:b w:val="0"/>
          <w:i w:val="0"/>
          <w:color w:val="595959"/>
          <w:sz w:val="16"/>
        </w:rPr>
        <w:t>Locator: Pharmaceutical Compositions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In some embodiments, the method comprises once daily administration of progesterone.</w:t>
      </w:r>
    </w:p>
    <w:p>
      <w:pPr>
        <w:spacing w:after="60" w:before="0"/>
      </w:pPr>
      <w:r>
        <w:rPr>
          <w:rFonts w:ascii="Calibri" w:hAnsi="Calibri"/>
          <w:b w:val="0"/>
          <w:i w:val="0"/>
          <w:color w:val="595959"/>
          <w:sz w:val="16"/>
        </w:rPr>
        <w:t>Locator: Summary section</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In some embodiments, the progesterone is administered within one hour prior to the subject retiring.</w:t>
      </w:r>
    </w:p>
    <w:p>
      <w:pPr>
        <w:spacing w:after="60" w:before="0"/>
      </w:pPr>
      <w:r>
        <w:rPr>
          <w:rFonts w:ascii="Calibri" w:hAnsi="Calibri"/>
          <w:b w:val="0"/>
          <w:i w:val="0"/>
          <w:color w:val="595959"/>
          <w:sz w:val="16"/>
        </w:rPr>
        <w:t>Locator: Summary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US20060009465A1 (Edgar et al.)</w:t>
      </w:r>
    </w:p>
    <w:p>
      <w:pPr>
        <w:spacing w:after="80" w:before="0"/>
      </w:pPr>
      <w:r>
        <w:rPr>
          <w:rFonts w:ascii="Calibri" w:hAnsi="Calibri"/>
          <w:b w:val="0"/>
          <w:i w:val="0"/>
          <w:color w:val="595959"/>
          <w:sz w:val="16"/>
        </w:rPr>
        <w:t>EDGAR DALE; HANGAUER DAVID G  et al.  ·  pub. 2006-01-12  ·  published before the subject's priority date  ·  channel: eligible</w:t>
      </w:r>
    </w:p>
    <w:p>
      <w:pPr>
        <w:spacing w:after="20" w:before="0"/>
      </w:pPr>
      <w:r>
        <w:rPr>
          <w:rFonts w:ascii="Calibri" w:hAnsi="Calibri"/>
          <w:b/>
          <w:i w:val="0"/>
          <w:sz w:val="18"/>
        </w:rPr>
        <w:t>c3.L1.a1  ·  AMBIGUOUS</w:t>
      </w:r>
    </w:p>
    <w:p>
      <w:pPr>
        <w:spacing w:after="20" w:before="0"/>
        <w:ind w:left="280"/>
      </w:pPr>
      <w:r>
        <w:rPr>
          <w:rFonts w:ascii="Calibri" w:hAnsi="Calibri"/>
          <w:b w:val="0"/>
          <w:i/>
          <w:color w:val="142B4A"/>
          <w:sz w:val="18"/>
        </w:rPr>
        <w:t>the blind or sight-impaired or those persons whose ability to distinguish differences in light and dark may be permanently or temporarily impaired</w:t>
      </w:r>
    </w:p>
    <w:p>
      <w:pPr>
        <w:spacing w:after="60" w:before="0"/>
      </w:pPr>
      <w:r>
        <w:rPr>
          <w:rFonts w:ascii="Calibri" w:hAnsi="Calibri"/>
          <w:b w:val="0"/>
          <w:i w:val="0"/>
          <w:color w:val="595959"/>
          <w:sz w:val="16"/>
        </w:rPr>
        <w:t>Locator: Detailed Description, list of conditions treated</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US20040235891A1 (Dubowchik et al.)</w:t>
      </w:r>
    </w:p>
    <w:p>
      <w:pPr>
        <w:spacing w:after="80" w:before="0"/>
      </w:pPr>
      <w:r>
        <w:rPr>
          <w:rFonts w:ascii="Calibri" w:hAnsi="Calibri"/>
          <w:b w:val="0"/>
          <w:i w:val="0"/>
          <w:color w:val="595959"/>
          <w:sz w:val="16"/>
        </w:rPr>
        <w:t>DUBOWCHIK GENE M; DITTA JONATHAN L  et al.  ·  pub. 2004-11-25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Particularly useful is the administration of a compound of Formula I or Ia in oral dosage formulations.</w:t>
      </w:r>
    </w:p>
    <w:p>
      <w:pPr>
        <w:spacing w:after="60" w:before="0"/>
      </w:pPr>
      <w:r>
        <w:rPr>
          <w:rFonts w:ascii="Calibri" w:hAnsi="Calibri"/>
          <w:b w:val="0"/>
          <w:i w:val="0"/>
          <w:color w:val="595959"/>
          <w:sz w:val="16"/>
        </w:rPr>
        <w:t>Locator: Pharmaceutical Composition and Method of Treatment</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US8003669B2 (Teshima et al.)</w:t>
      </w:r>
      <w:r>
        <w:rPr>
          <w:rFonts w:ascii="Calibri" w:hAnsi="Calibri"/>
          <w:b w:val="0"/>
          <w:i w:val="0"/>
          <w:color w:val="142B4A"/>
          <w:sz w:val="20"/>
        </w:rPr>
        <w:t xml:space="preserve">  Remedy for sleep disturbance</w:t>
      </w:r>
    </w:p>
    <w:p>
      <w:pPr>
        <w:spacing w:after="80" w:before="0"/>
      </w:pPr>
      <w:r>
        <w:rPr>
          <w:rFonts w:ascii="Calibri" w:hAnsi="Calibri"/>
          <w:b w:val="0"/>
          <w:i w:val="0"/>
          <w:color w:val="595959"/>
          <w:sz w:val="16"/>
        </w:rPr>
        <w:t>MITSUBISHI TANABE PHARMA CORP  ·  pub. 2011-08-23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A method of treating a circadian rhythm sleep disorder, comprising administering an effective amount of a compound represented by formula (I)</w:t>
      </w:r>
    </w:p>
    <w:p>
      <w:pPr>
        <w:spacing w:after="60" w:before="0"/>
      </w:pPr>
      <w:r>
        <w:rPr>
          <w:rFonts w:ascii="Calibri" w:hAnsi="Calibri"/>
          <w:b w:val="0"/>
          <w:i w:val="0"/>
          <w:color w:val="595959"/>
          <w:sz w:val="16"/>
        </w:rPr>
        <w:t>Locator: Claim 1</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A compound having an ORL-1 receptor agonistic activity (an ORL-1 receptor agonist) in the present invention can be administered orally or non-orally.</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the dose is usually 0.1 to 5000 mg, preferably, 1 to 1000 mg per day and may be administered in a single dose or divided doses.</w:t>
      </w:r>
    </w:p>
    <w:p>
      <w:pPr>
        <w:spacing w:after="60" w:before="0"/>
      </w:pPr>
      <w:r>
        <w:rPr>
          <w:rFonts w:ascii="Calibri" w:hAnsi="Calibri"/>
          <w:b w:val="0"/>
          <w:i w:val="0"/>
          <w:color w:val="595959"/>
          <w:sz w:val="16"/>
        </w:rPr>
        <w:t>Locator: Detailed Description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US20040213816A1 (Weiner et al.)</w:t>
      </w:r>
      <w:r>
        <w:rPr>
          <w:rFonts w:ascii="Calibri" w:hAnsi="Calibri"/>
          <w:b w:val="0"/>
          <w:i w:val="0"/>
          <w:color w:val="142B4A"/>
          <w:sz w:val="20"/>
        </w:rPr>
        <w:t xml:space="preserve">  Selective serotonin 2A/2C receptor inverse agonists as therapeutics for neurodegenerative diseases</w:t>
      </w:r>
    </w:p>
    <w:p>
      <w:pPr>
        <w:spacing w:after="80" w:before="0"/>
      </w:pPr>
      <w:r>
        <w:rPr>
          <w:rFonts w:ascii="Calibri" w:hAnsi="Calibri"/>
          <w:b w:val="0"/>
          <w:i w:val="0"/>
          <w:color w:val="595959"/>
          <w:sz w:val="16"/>
        </w:rPr>
        <w:t>WEINER DAVID M; DAVIS ROBERT E  et al.  ·  pub. 2004-10-28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For example, systemic administration may be required in which case the disclosed compounds can be formulated into a composition that can be ingested orally in the form of a tablet, capsule or liquid.</w:t>
      </w:r>
    </w:p>
    <w:p>
      <w:pPr>
        <w:spacing w:after="60" w:before="0"/>
      </w:pPr>
      <w:r>
        <w:rPr>
          <w:rFonts w:ascii="Calibri" w:hAnsi="Calibri"/>
          <w:b w:val="0"/>
          <w:i w:val="0"/>
          <w:color w:val="595959"/>
          <w:sz w:val="16"/>
        </w:rPr>
        <w:t>Locator: Detailed Description, administration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Daily doses may be given as a single administration (e.g. a daily tablet for oral consumption or as a single daily injection).</w:t>
      </w:r>
    </w:p>
    <w:p>
      <w:pPr>
        <w:spacing w:after="60" w:before="0"/>
      </w:pPr>
      <w:r>
        <w:rPr>
          <w:rFonts w:ascii="Calibri" w:hAnsi="Calibri"/>
          <w:b w:val="0"/>
          <w:i w:val="0"/>
          <w:color w:val="595959"/>
          <w:sz w:val="16"/>
        </w:rPr>
        <w:t>Locator: Dosage regimen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US20100192945A1 (Cook et al.)</w:t>
      </w:r>
    </w:p>
    <w:p>
      <w:pPr>
        <w:spacing w:after="80" w:before="0"/>
      </w:pPr>
      <w:r>
        <w:rPr>
          <w:rFonts w:ascii="Calibri" w:hAnsi="Calibri"/>
          <w:b w:val="0"/>
          <w:i w:val="0"/>
          <w:color w:val="595959"/>
          <w:sz w:val="16"/>
        </w:rPr>
        <w:t>COOK ROBERT OWEN; ARMER THOMAS A  ·  pub. 2010-08-05  ·  published before the subject's priority date  ·  channel: eligible</w:t>
      </w:r>
    </w:p>
    <w:p>
      <w:pPr>
        <w:spacing w:after="20" w:before="0"/>
      </w:pPr>
      <w:r>
        <w:rPr>
          <w:rFonts w:ascii="Calibri" w:hAnsi="Calibri"/>
          <w:b/>
          <w:i w:val="0"/>
          <w:sz w:val="18"/>
        </w:rPr>
        <w:t>c4.L1.a1  ·  NOT_FOUND</w:t>
      </w:r>
    </w:p>
    <w:p>
      <w:pPr>
        <w:spacing w:after="20" w:before="0"/>
        <w:ind w:left="280"/>
      </w:pPr>
      <w:r>
        <w:rPr>
          <w:rFonts w:ascii="Calibri" w:hAnsi="Calibri"/>
          <w:b w:val="0"/>
          <w:i/>
          <w:color w:val="142B4A"/>
          <w:sz w:val="18"/>
        </w:rPr>
        <w:t>The sedative formulations described here may be administered by inhalation using devices such as a pMDI</w:t>
      </w:r>
    </w:p>
    <w:p>
      <w:pPr>
        <w:spacing w:after="60" w:before="0"/>
      </w:pPr>
      <w:r>
        <w:rPr>
          <w:rFonts w:ascii="Calibri" w:hAnsi="Calibri"/>
          <w:b w:val="0"/>
          <w:i w:val="0"/>
          <w:color w:val="595959"/>
          <w:sz w:val="16"/>
        </w:rPr>
        <w:t>Locator: Methods of Administration</w:t>
      </w:r>
    </w:p>
    <w:p>
      <w:pPr>
        <w:spacing w:after="20" w:before="0"/>
      </w:pPr>
      <w:r>
        <w:rPr>
          <w:rFonts w:ascii="Calibri" w:hAnsi="Calibri"/>
          <w:b/>
          <w:i w:val="0"/>
          <w:sz w:val="18"/>
        </w:rPr>
        <w:t>c4.L2.a1  ·  AMBIGUOUS</w:t>
      </w:r>
    </w:p>
    <w:p>
      <w:pPr>
        <w:spacing w:after="20" w:before="0"/>
        <w:ind w:left="280"/>
      </w:pPr>
      <w:r>
        <w:rPr>
          <w:rFonts w:ascii="Calibri" w:hAnsi="Calibri"/>
          <w:b w:val="0"/>
          <w:i/>
          <w:color w:val="142B4A"/>
          <w:sz w:val="18"/>
        </w:rPr>
        <w:t>Other examples of a suitable melatonin receptor agonist include melatonin itself, Rozerem® (Takeda), tasimelteon aka VEC-162 (Vanda Pharmaceuticals, Inc.) and drugs acting on the serotonin system such as Eplivanserin (Sanofi-Aventis).</w:t>
      </w:r>
    </w:p>
    <w:p>
      <w:pPr>
        <w:spacing w:after="60" w:before="0"/>
      </w:pPr>
      <w:r>
        <w:rPr>
          <w:rFonts w:ascii="Calibri" w:hAnsi="Calibri"/>
          <w:b w:val="0"/>
          <w:i w:val="0"/>
          <w:color w:val="595959"/>
          <w:sz w:val="16"/>
        </w:rPr>
        <w:t>Locator: Section II. COMPOUNDS</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In general, the sedative composition may be administered once a day when sleep is desired.</w:t>
      </w:r>
    </w:p>
    <w:p>
      <w:pPr>
        <w:spacing w:after="60" w:before="0"/>
      </w:pPr>
      <w:r>
        <w:rPr>
          <w:rFonts w:ascii="Calibri" w:hAnsi="Calibri"/>
          <w:b w:val="0"/>
          <w:i w:val="0"/>
          <w:color w:val="595959"/>
          <w:sz w:val="16"/>
        </w:rPr>
        <w:t>Locator: Section IV. METHODS OF ADMINISTRATION</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In some embodiments the drug may be administered at the start of the normal sleep period and can be administered again if the user awakens in the middle of the sleep period.</w:t>
      </w:r>
    </w:p>
    <w:p>
      <w:pPr>
        <w:spacing w:after="60" w:before="0"/>
      </w:pPr>
      <w:r>
        <w:rPr>
          <w:rFonts w:ascii="Calibri" w:hAnsi="Calibri"/>
          <w:b w:val="0"/>
          <w:i w:val="0"/>
          <w:color w:val="595959"/>
          <w:sz w:val="16"/>
        </w:rPr>
        <w:t>Locator: Section IV. METHODS OF ADMINISTRATION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US20050020664A1 (Zisapel et al.)</w:t>
      </w:r>
    </w:p>
    <w:p>
      <w:pPr>
        <w:spacing w:after="80" w:before="0"/>
      </w:pPr>
      <w:r>
        <w:rPr>
          <w:rFonts w:ascii="Calibri" w:hAnsi="Calibri"/>
          <w:b w:val="0"/>
          <w:i w:val="0"/>
          <w:color w:val="595959"/>
          <w:sz w:val="16"/>
        </w:rPr>
        <w:t>NEURIM PHARMA 1991  ·  pub. 2005-01-27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such as delayed sleep syndrome, sleep disorders associated with shift-work, and seasonal-related disorders e.g. seasonal affective disorder (SAD)</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it is adapted for oral, rectal, parenteral, transbuccal, intrapulmonary (e.g. by inhalation) or transdermal administration</w:t>
      </w:r>
    </w:p>
    <w:p>
      <w:pPr>
        <w:spacing w:after="60" w:before="0"/>
      </w:pPr>
      <w:r>
        <w:rPr>
          <w:rFonts w:ascii="Calibri" w:hAnsi="Calibri"/>
          <w:b w:val="0"/>
          <w:i w:val="0"/>
          <w:color w:val="595959"/>
          <w:sz w:val="16"/>
        </w:rPr>
        <w:t>Locator: Detailed Description, pharmaceutical formulation features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US7189757B2 (Edgar et al.)</w:t>
      </w:r>
      <w:r>
        <w:rPr>
          <w:rFonts w:ascii="Calibri" w:hAnsi="Calibri"/>
          <w:b w:val="0"/>
          <w:i w:val="0"/>
          <w:color w:val="142B4A"/>
          <w:sz w:val="20"/>
        </w:rPr>
        <w:t xml:space="preserve">  Treatment of sleep disorders using CNS target modulators</w:t>
      </w:r>
    </w:p>
    <w:p>
      <w:pPr>
        <w:spacing w:after="80" w:before="0"/>
      </w:pPr>
      <w:r>
        <w:rPr>
          <w:rFonts w:ascii="Calibri" w:hAnsi="Calibri"/>
          <w:b w:val="0"/>
          <w:i w:val="0"/>
          <w:color w:val="595959"/>
          <w:sz w:val="16"/>
        </w:rPr>
        <w:t>HYPNION INC  ·  pub. 2007-03-13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In a specific embodiment, the therapeutic compound is administered orally.</w:t>
      </w:r>
    </w:p>
    <w:p>
      <w:pPr>
        <w:spacing w:after="60" w:before="0"/>
      </w:pPr>
      <w:r>
        <w:rPr>
          <w:rFonts w:ascii="Calibri" w:hAnsi="Calibri"/>
          <w:b w:val="0"/>
          <w:i w:val="0"/>
          <w:color w:val="595959"/>
          <w:sz w:val="16"/>
        </w:rPr>
        <w:t>Locator: Methods of the Invention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US20100267836A1 (Gobbi et al.)</w:t>
      </w:r>
    </w:p>
    <w:p>
      <w:pPr>
        <w:spacing w:after="80" w:before="0"/>
      </w:pPr>
      <w:r>
        <w:rPr>
          <w:rFonts w:ascii="Calibri" w:hAnsi="Calibri"/>
          <w:b w:val="0"/>
          <w:i w:val="0"/>
          <w:color w:val="595959"/>
          <w:sz w:val="16"/>
        </w:rPr>
        <w:t>UNIV DEGLI STUDI MILANO; UNIV DEGLI STUDI URBINO  et al.  ·  pub. 2010-10-21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In a non-limiting embodiment, the MLT ligands of the present invention are suitable for oral administration.</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c4.L3.a1  ·  AMBIGUOUS</w:t>
      </w:r>
    </w:p>
    <w:p>
      <w:pPr>
        <w:spacing w:after="20" w:before="0"/>
        <w:ind w:left="280"/>
      </w:pPr>
      <w:r>
        <w:rPr>
          <w:rFonts w:ascii="Calibri" w:hAnsi="Calibri"/>
          <w:b w:val="0"/>
          <w:i/>
          <w:color w:val="142B4A"/>
          <w:sz w:val="18"/>
        </w:rPr>
        <w:t>Animals (n=4) were sub-chronically treated with compound 5b for 4 days (40 mg/kg, once a day).</w:t>
      </w:r>
    </w:p>
    <w:p>
      <w:pPr>
        <w:spacing w:after="60" w:before="0"/>
      </w:pPr>
      <w:r>
        <w:rPr>
          <w:rFonts w:ascii="Calibri" w:hAnsi="Calibri"/>
          <w:b w:val="0"/>
          <w:i w:val="0"/>
          <w:color w:val="595959"/>
          <w:sz w:val="16"/>
        </w:rPr>
        <w:t>Locator: FIG. 6 description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US20040106681A1 (Rao et al.)</w:t>
      </w:r>
    </w:p>
    <w:p>
      <w:pPr>
        <w:spacing w:after="80" w:before="0"/>
      </w:pPr>
      <w:r>
        <w:rPr>
          <w:rFonts w:ascii="Calibri" w:hAnsi="Calibri"/>
          <w:b w:val="0"/>
          <w:i w:val="0"/>
          <w:color w:val="595959"/>
          <w:sz w:val="16"/>
        </w:rPr>
        <w:t>CYPRESS BIOSCIENCE INC  ·  pub. 2004-06-03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The active ingredient can be administered orally in solid dosage forms, such as capsules, tablets and powders, or in liquid dosage forms, such as elixirs, syrups and suspensions.</w:t>
      </w:r>
    </w:p>
    <w:p>
      <w:pPr>
        <w:spacing w:after="60" w:before="0"/>
      </w:pPr>
      <w:r>
        <w:rPr>
          <w:rFonts w:ascii="Calibri" w:hAnsi="Calibri"/>
          <w:b w:val="0"/>
          <w:i w:val="0"/>
          <w:color w:val="595959"/>
          <w:sz w:val="16"/>
        </w:rPr>
        <w:t>Locator: Formulations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The daily dosages of active ingredient can be administered in a once-a-day (QD) dosage or alternatively in a divided dosage, e.g., a twice-a-day (BID) dosage.</w:t>
      </w:r>
    </w:p>
    <w:p>
      <w:pPr>
        <w:spacing w:after="60" w:before="0"/>
      </w:pPr>
      <w:r>
        <w:rPr>
          <w:rFonts w:ascii="Calibri" w:hAnsi="Calibri"/>
          <w:b w:val="0"/>
          <w:i w:val="0"/>
          <w:color w:val="595959"/>
          <w:sz w:val="16"/>
        </w:rPr>
        <w:t>Locator: Formulations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US20080124407A1 (Eaton et al.)</w:t>
      </w:r>
    </w:p>
    <w:p>
      <w:pPr>
        <w:spacing w:after="80" w:before="0"/>
      </w:pPr>
      <w:r>
        <w:rPr>
          <w:rFonts w:ascii="Calibri" w:hAnsi="Calibri"/>
          <w:b w:val="0"/>
          <w:i w:val="0"/>
          <w:color w:val="595959"/>
          <w:sz w:val="16"/>
        </w:rPr>
        <w:t>UNIV WASHINGTON  ·  pub. 2008-05-29  ·  published before the subject's priority date  ·  channel: eligible</w:t>
      </w:r>
    </w:p>
    <w:p>
      <w:pPr>
        <w:spacing w:after="20" w:before="0"/>
      </w:pPr>
      <w:r>
        <w:rPr>
          <w:rFonts w:ascii="Calibri" w:hAnsi="Calibri"/>
          <w:b/>
          <w:i w:val="0"/>
          <w:sz w:val="18"/>
        </w:rPr>
        <w:t>c1.L1.a2  ·  EXPLICIT</w:t>
      </w:r>
    </w:p>
    <w:p>
      <w:pPr>
        <w:spacing w:after="20" w:before="0"/>
        <w:ind w:left="280"/>
      </w:pPr>
      <w:r>
        <w:rPr>
          <w:rFonts w:ascii="Calibri" w:hAnsi="Calibri"/>
          <w:b w:val="0"/>
          <w:i/>
          <w:color w:val="142B4A"/>
          <w:sz w:val="18"/>
        </w:rPr>
        <w:t>Useful antibiotics include rifampicin, rifabutin, flucloxacillin, nafcillin, or artemisinin.</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The active compounds of the present invention may be orally administered, for example, with an inert diluent, or with an assimilable edible carrier, or they may be enclosed in hard or soft shell capsules, or they may be compressed into tablets.</w:t>
      </w:r>
    </w:p>
    <w:p>
      <w:pPr>
        <w:spacing w:after="60" w:before="0"/>
      </w:pPr>
      <w:r>
        <w:rPr>
          <w:rFonts w:ascii="Calibri" w:hAnsi="Calibri"/>
          <w:b w:val="0"/>
          <w:i w:val="0"/>
          <w:color w:val="595959"/>
          <w:sz w:val="16"/>
        </w:rPr>
        <w:t>Locator: Detailed Description, formulation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US20050037449A1 (Doi et al.)</w:t>
      </w:r>
    </w:p>
    <w:p>
      <w:pPr>
        <w:spacing w:after="80" w:before="0"/>
      </w:pPr>
      <w:r>
        <w:rPr>
          <w:rFonts w:ascii="Calibri" w:hAnsi="Calibri"/>
          <w:b w:val="0"/>
          <w:i w:val="0"/>
          <w:color w:val="595959"/>
          <w:sz w:val="16"/>
        </w:rPr>
        <w:t>DOI HIROFUMI; WADA NAOYA  ·  pub. 2005-02-17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a method for controlling a circadian rhythm disorder</w:t>
      </w:r>
    </w:p>
    <w:p>
      <w:pPr>
        <w:spacing w:after="60" w:before="0"/>
      </w:pPr>
      <w:r>
        <w:rPr>
          <w:rFonts w:ascii="Calibri" w:hAnsi="Calibri"/>
          <w:b w:val="0"/>
          <w:i w:val="0"/>
          <w:color w:val="595959"/>
          <w:sz w:val="16"/>
        </w:rPr>
        <w:t>Locator: Claim 3</w:t>
      </w:r>
    </w:p>
    <w:p>
      <w:pPr>
        <w:spacing w:after="20" w:before="0"/>
      </w:pPr>
      <w:r>
        <w:rPr>
          <w:rFonts w:ascii="Calibri" w:hAnsi="Calibri"/>
          <w:b/>
          <w:i w:val="0"/>
          <w:sz w:val="18"/>
        </w:rPr>
        <w:t>c2.L1.a1  ·  PARTIAL</w:t>
      </w:r>
    </w:p>
    <w:p>
      <w:pPr>
        <w:spacing w:after="20" w:before="0"/>
        <w:ind w:left="280"/>
      </w:pPr>
      <w:r>
        <w:rPr>
          <w:rFonts w:ascii="Calibri" w:hAnsi="Calibri"/>
          <w:b w:val="0"/>
          <w:i/>
          <w:color w:val="142B4A"/>
          <w:sz w:val="18"/>
        </w:rPr>
        <w:t>Examples of sleep/wakefulness rhythm disorders include delayed sleep phase syndrome and non-24-hour sleep patterns.</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Another mode of administration can be peroral administration, if an enteric formulation or capsule formulation can be suitably formulated.</w:t>
      </w:r>
    </w:p>
    <w:p>
      <w:pPr>
        <w:spacing w:after="60" w:before="0"/>
      </w:pPr>
      <w:r>
        <w:rPr>
          <w:rFonts w:ascii="Calibri" w:hAnsi="Calibri"/>
          <w:b w:val="0"/>
          <w:i w:val="0"/>
          <w:color w:val="595959"/>
          <w:sz w:val="16"/>
        </w:rPr>
        <w:t>Locator: Formulation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US20040259917A1 (Cosford et al.)</w:t>
      </w:r>
    </w:p>
    <w:p>
      <w:pPr>
        <w:spacing w:after="80" w:before="0"/>
      </w:pPr>
      <w:r>
        <w:rPr>
          <w:rFonts w:ascii="Calibri" w:hAnsi="Calibri"/>
          <w:b w:val="0"/>
          <w:i w:val="0"/>
          <w:color w:val="595959"/>
          <w:sz w:val="16"/>
        </w:rPr>
        <w:t>COSFORD NICHOLAS D P; HUANG DEHUA  et al.  ·  pub. 2004-12-23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tablets and capsules are the preferred oral dosage units whereby solid pharmaceutical carriers are employed</w:t>
      </w:r>
    </w:p>
    <w:p>
      <w:pPr>
        <w:spacing w:after="60" w:before="0"/>
      </w:pPr>
      <w:r>
        <w:rPr>
          <w:rFonts w:ascii="Calibri" w:hAnsi="Calibri"/>
          <w:b w:val="0"/>
          <w:i w:val="0"/>
          <w:color w:val="595959"/>
          <w:sz w:val="16"/>
        </w:rPr>
        <w:t>Locator: Pharmaceutical composition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taken one or two tablets, cachets, or capsules, once, twice, or three times daily</w:t>
      </w:r>
    </w:p>
    <w:p>
      <w:pPr>
        <w:spacing w:after="60" w:before="0"/>
      </w:pPr>
      <w:r>
        <w:rPr>
          <w:rFonts w:ascii="Calibri" w:hAnsi="Calibri"/>
          <w:b w:val="0"/>
          <w:i w:val="0"/>
          <w:color w:val="595959"/>
          <w:sz w:val="16"/>
        </w:rPr>
        <w:t>Locator: Dosage form paragraph</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US20040147593A1 (Carruthers et al.)</w:t>
      </w:r>
    </w:p>
    <w:p>
      <w:pPr>
        <w:spacing w:after="80" w:before="0"/>
      </w:pPr>
      <w:r>
        <w:rPr>
          <w:rFonts w:ascii="Calibri" w:hAnsi="Calibri"/>
          <w:b w:val="0"/>
          <w:i w:val="0"/>
          <w:color w:val="595959"/>
          <w:sz w:val="16"/>
        </w:rPr>
        <w:t>CARRUTHERS NICHOLAS I; JONES TODD K  et al.  ·  pub. 2004-07-29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tablets and capsules represent the most advantageous oral dosage unit form, in which case solid pharmaceutical carriers are generally employed.</w:t>
      </w:r>
    </w:p>
    <w:p>
      <w:pPr>
        <w:spacing w:after="60" w:before="0"/>
      </w:pPr>
      <w:r>
        <w:rPr>
          <w:rFonts w:ascii="Calibri" w:hAnsi="Calibri"/>
          <w:b w:val="0"/>
          <w:i w:val="0"/>
          <w:color w:val="595959"/>
          <w:sz w:val="16"/>
        </w:rPr>
        <w:t>Locator: Section D. Formulation and Administration</w:t>
      </w:r>
    </w:p>
    <w:p>
      <w:pPr>
        <w:spacing w:after="20" w:before="0"/>
      </w:pPr>
      <w:r>
        <w:rPr>
          <w:rFonts w:ascii="Calibri" w:hAnsi="Calibri"/>
          <w:b/>
          <w:i w:val="0"/>
          <w:sz w:val="18"/>
        </w:rPr>
        <w:t>c4.L3.a1  ·  AMBIGUOUS</w:t>
      </w:r>
    </w:p>
    <w:p>
      <w:pPr>
        <w:spacing w:after="20" w:before="0"/>
        <w:ind w:left="280"/>
      </w:pPr>
      <w:r>
        <w:rPr>
          <w:rFonts w:ascii="Calibri" w:hAnsi="Calibri"/>
          <w:b w:val="0"/>
          <w:i/>
          <w:color w:val="142B4A"/>
          <w:sz w:val="18"/>
        </w:rPr>
        <w:t>It may be appropriate to administer the therapeutically effective dose as two, three, four or more sub-doses at appropriate intervals throughout the day.</w:t>
      </w:r>
    </w:p>
    <w:p>
      <w:pPr>
        <w:spacing w:after="60" w:before="0"/>
      </w:pPr>
      <w:r>
        <w:rPr>
          <w:rFonts w:ascii="Calibri" w:hAnsi="Calibri"/>
          <w:b w:val="0"/>
          <w:i w:val="0"/>
          <w:color w:val="595959"/>
          <w:sz w:val="16"/>
        </w:rPr>
        <w:t>Locator: Section D. Formulation and Administration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US8916517B2 (Coy et al.)</w:t>
      </w:r>
    </w:p>
    <w:p>
      <w:pPr>
        <w:spacing w:after="80" w:before="0"/>
      </w:pPr>
      <w:r>
        <w:rPr>
          <w:rFonts w:ascii="Calibri" w:hAnsi="Calibri"/>
          <w:b w:val="0"/>
          <w:i w:val="0"/>
          <w:color w:val="595959"/>
          <w:sz w:val="16"/>
        </w:rPr>
        <w:t>COY DAVID HOWARD; MADERDRUT JEROME L  et al.  ·  pub. 2014-12-23  ·  earlier-filed, later-published (§ 102(a)(2))  ·  channel: eligible</w:t>
      </w:r>
    </w:p>
    <w:p>
      <w:pPr>
        <w:spacing w:after="20" w:before="0"/>
      </w:pPr>
      <w:r>
        <w:rPr>
          <w:rFonts w:ascii="Calibri" w:hAnsi="Calibri"/>
          <w:b/>
          <w:i w:val="0"/>
          <w:sz w:val="18"/>
        </w:rPr>
        <w:t>c1.L1.a2  ·  AMBIGUOUS</w:t>
      </w:r>
    </w:p>
    <w:p>
      <w:pPr>
        <w:spacing w:after="20" w:before="0"/>
        <w:ind w:left="280"/>
      </w:pPr>
      <w:r>
        <w:rPr>
          <w:rFonts w:ascii="Calibri" w:hAnsi="Calibri"/>
          <w:b w:val="0"/>
          <w:i/>
          <w:color w:val="142B4A"/>
          <w:sz w:val="18"/>
        </w:rPr>
        <w:t>the subject is being treated with a primary therapeutic selected from one or more of ... rifampicin</w:t>
      </w:r>
    </w:p>
    <w:p>
      <w:pPr>
        <w:spacing w:after="60" w:before="0"/>
      </w:pPr>
      <w:r>
        <w:rPr>
          <w:rFonts w:ascii="Calibri" w:hAnsi="Calibri"/>
          <w:b w:val="0"/>
          <w:i w:val="0"/>
          <w:color w:val="595959"/>
          <w:sz w:val="16"/>
        </w:rPr>
        <w:t>Locator: Summary of the Invention</w:t>
      </w:r>
    </w:p>
    <w:p>
      <w:pPr>
        <w:spacing w:after="20" w:before="0"/>
      </w:pPr>
      <w:r>
        <w:rPr>
          <w:rFonts w:ascii="Calibri" w:hAnsi="Calibri"/>
          <w:b/>
          <w:i w:val="0"/>
          <w:sz w:val="18"/>
        </w:rPr>
        <w:t>c4.L1.a1  ·  AMBIGUOUS</w:t>
      </w:r>
    </w:p>
    <w:p>
      <w:pPr>
        <w:spacing w:after="20" w:before="0"/>
        <w:ind w:left="280"/>
      </w:pPr>
      <w:r>
        <w:rPr>
          <w:rFonts w:ascii="Calibri" w:hAnsi="Calibri"/>
          <w:b w:val="0"/>
          <w:i/>
          <w:color w:val="142B4A"/>
          <w:sz w:val="18"/>
        </w:rPr>
        <w:t>the PACAP-like compound is administered orally in a time-dependent or pH-dependent formulation one or more times per day</w:t>
      </w:r>
    </w:p>
    <w:p>
      <w:pPr>
        <w:spacing w:after="60" w:before="0"/>
      </w:pPr>
      <w:r>
        <w:rPr>
          <w:rFonts w:ascii="Calibri" w:hAnsi="Calibri"/>
          <w:b w:val="0"/>
          <w:i w:val="0"/>
          <w:color w:val="595959"/>
          <w:sz w:val="16"/>
        </w:rPr>
        <w:t>Locator: Summary of the Invention</w:t>
      </w:r>
    </w:p>
    <w:p>
      <w:pPr>
        <w:spacing w:after="20" w:before="0"/>
      </w:pPr>
      <w:r>
        <w:rPr>
          <w:rFonts w:ascii="Calibri" w:hAnsi="Calibri"/>
          <w:b/>
          <w:i w:val="0"/>
          <w:sz w:val="18"/>
        </w:rPr>
        <w:t>c4.L3.a1  ·  AMBIGUOUS</w:t>
      </w:r>
    </w:p>
    <w:p>
      <w:pPr>
        <w:spacing w:after="20" w:before="0"/>
        <w:ind w:left="280"/>
      </w:pPr>
      <w:r>
        <w:rPr>
          <w:rFonts w:ascii="Calibri" w:hAnsi="Calibri"/>
          <w:b w:val="0"/>
          <w:i/>
          <w:color w:val="142B4A"/>
          <w:sz w:val="18"/>
        </w:rPr>
        <w:t>the PACAP-like compound is administered orally in a time-dependent or pH-dependent formulation one or more times per day</w:t>
      </w:r>
    </w:p>
    <w:p>
      <w:pPr>
        <w:spacing w:after="60" w:before="0"/>
      </w:pPr>
      <w:r>
        <w:rPr>
          <w:rFonts w:ascii="Calibri" w:hAnsi="Calibri"/>
          <w:b w:val="0"/>
          <w:i w:val="0"/>
          <w:color w:val="595959"/>
          <w:sz w:val="16"/>
        </w:rPr>
        <w:t>Locator: Summary of the Invention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EP1426048A2 (Heyman et al.)</w:t>
      </w:r>
      <w:r>
        <w:rPr>
          <w:rFonts w:ascii="Calibri" w:hAnsi="Calibri"/>
          <w:b w:val="0"/>
          <w:i w:val="0"/>
          <w:color w:val="142B4A"/>
          <w:sz w:val="20"/>
        </w:rPr>
        <w:t xml:space="preserve">  Treating hypertriglyceridemia with RXR agonists in combination with a PPARgamma agonist</w:t>
      </w:r>
    </w:p>
    <w:p>
      <w:pPr>
        <w:spacing w:after="80" w:before="0"/>
      </w:pPr>
      <w:r>
        <w:rPr>
          <w:rFonts w:ascii="Calibri" w:hAnsi="Calibri"/>
          <w:b w:val="0"/>
          <w:i w:val="0"/>
          <w:color w:val="595959"/>
          <w:sz w:val="16"/>
        </w:rPr>
        <w:t>LIGAND PHARM INC  ·  pub. 2004-06-09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In a preferred embodiment, it is administered orally.</w:t>
      </w:r>
    </w:p>
    <w:p>
      <w:pPr>
        <w:spacing w:after="60" w:before="0"/>
      </w:pPr>
      <w:r>
        <w:rPr>
          <w:rFonts w:ascii="Calibri" w:hAnsi="Calibri"/>
          <w:b w:val="0"/>
          <w:i w:val="0"/>
          <w:color w:val="595959"/>
          <w:sz w:val="16"/>
        </w:rPr>
        <w:t>Locator: Pharmaceutical Formulations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US4613496A (Kopf et al.)</w:t>
      </w:r>
    </w:p>
    <w:p>
      <w:pPr>
        <w:spacing w:after="80" w:before="0"/>
      </w:pPr>
      <w:r>
        <w:rPr>
          <w:rFonts w:ascii="Calibri" w:hAnsi="Calibri"/>
          <w:b w:val="0"/>
          <w:i w:val="0"/>
          <w:color w:val="595959"/>
          <w:sz w:val="16"/>
        </w:rPr>
        <w:t>CIBA GEIGY CORP  ·  pub. 1986-09-23  ·  published before the subject's priority date  ·  channel: eligible</w:t>
      </w:r>
    </w:p>
    <w:p>
      <w:pPr>
        <w:spacing w:after="20" w:before="0"/>
      </w:pPr>
      <w:r>
        <w:rPr>
          <w:rFonts w:ascii="Calibri" w:hAnsi="Calibri"/>
          <w:b/>
          <w:i w:val="0"/>
          <w:sz w:val="18"/>
        </w:rPr>
        <w:t>c1.L1.a2  ·  PARTIAL</w:t>
      </w:r>
    </w:p>
    <w:p>
      <w:pPr>
        <w:spacing w:after="20" w:before="0"/>
        <w:ind w:left="280"/>
      </w:pPr>
      <w:r>
        <w:rPr>
          <w:rFonts w:ascii="Calibri" w:hAnsi="Calibri"/>
          <w:b w:val="0"/>
          <w:i/>
          <w:color w:val="142B4A"/>
          <w:sz w:val="18"/>
        </w:rPr>
        <w:t>A method of antibiotic treatment of a mammal comprising administering an antibiotically effective amount of a composition of claim 1 to said mammal.</w:t>
      </w:r>
    </w:p>
    <w:p>
      <w:pPr>
        <w:spacing w:after="60" w:before="0"/>
      </w:pPr>
      <w:r>
        <w:rPr>
          <w:rFonts w:ascii="Calibri" w:hAnsi="Calibri"/>
          <w:b w:val="0"/>
          <w:i w:val="0"/>
          <w:color w:val="595959"/>
          <w:sz w:val="16"/>
        </w:rPr>
        <w:t>Locator: Claim 4</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The solid pharmaceutical composition is primarily useful for the oral administration and can be in the form of an uncoated or coated tablet, but is advantageously a capsule.</w:t>
      </w:r>
    </w:p>
    <w:p>
      <w:pPr>
        <w:spacing w:after="60" w:before="0"/>
      </w:pPr>
      <w:r>
        <w:rPr>
          <w:rFonts w:ascii="Calibri" w:hAnsi="Calibri"/>
          <w:b w:val="0"/>
          <w:i w:val="0"/>
          <w:color w:val="595959"/>
          <w:sz w:val="16"/>
        </w:rPr>
        <w:t>Locator: Description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US20090143285A1 (Sueoka et al.)</w:t>
      </w:r>
    </w:p>
    <w:p>
      <w:pPr>
        <w:spacing w:after="80" w:before="0"/>
      </w:pPr>
      <w:r>
        <w:rPr>
          <w:rFonts w:ascii="Calibri" w:hAnsi="Calibri"/>
          <w:b w:val="0"/>
          <w:i w:val="0"/>
          <w:color w:val="595959"/>
          <w:sz w:val="16"/>
        </w:rPr>
        <w:t>REVERSE PROTEOMICS RES INST CO  ·  pub. 2009-06-04  ·  published before the subject's priority date  ·  channel: eligible</w:t>
      </w:r>
    </w:p>
    <w:p>
      <w:pPr>
        <w:spacing w:after="20" w:before="0"/>
      </w:pPr>
      <w:r>
        <w:rPr>
          <w:rFonts w:ascii="Calibri" w:hAnsi="Calibri"/>
          <w:b/>
          <w:i w:val="0"/>
          <w:sz w:val="18"/>
        </w:rPr>
        <w:t>c1.L1.a2  ·  PARTIAL</w:t>
      </w:r>
    </w:p>
    <w:p>
      <w:pPr>
        <w:spacing w:after="20" w:before="0"/>
        <w:ind w:left="280"/>
      </w:pPr>
      <w:r>
        <w:rPr>
          <w:rFonts w:ascii="Calibri" w:hAnsi="Calibri"/>
          <w:b w:val="0"/>
          <w:i/>
          <w:color w:val="142B4A"/>
          <w:sz w:val="18"/>
        </w:rPr>
        <w:t>(a9) a combination of rifampicin and a protein comprising the amino acid sequence shown by SEQ ID NO:6 or a protein homologous thereto or a variant thereof;</w:t>
      </w:r>
    </w:p>
    <w:p>
      <w:pPr>
        <w:spacing w:after="60" w:before="0"/>
      </w:pPr>
      <w:r>
        <w:rPr>
          <w:rFonts w:ascii="Calibri" w:hAnsi="Calibri"/>
          <w:b w:val="0"/>
          <w:i w:val="0"/>
          <w:color w:val="595959"/>
          <w:sz w:val="16"/>
        </w:rPr>
        <w:t>Locator: Claim 1</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US7001619B2 (Johri et al.)</w:t>
      </w:r>
    </w:p>
    <w:p>
      <w:pPr>
        <w:spacing w:after="80" w:before="0"/>
      </w:pPr>
      <w:r>
        <w:rPr>
          <w:rFonts w:ascii="Calibri" w:hAnsi="Calibri"/>
          <w:b w:val="0"/>
          <w:i w:val="0"/>
          <w:color w:val="595959"/>
          <w:sz w:val="16"/>
        </w:rPr>
        <w:t>COUNCIL SCIENT IND RES  ·  pub. 2006-02-21  ·  published before the subject's priority date  ·  channel: eligible</w:t>
      </w:r>
    </w:p>
    <w:p>
      <w:pPr>
        <w:spacing w:after="20" w:before="0"/>
      </w:pPr>
      <w:r>
        <w:rPr>
          <w:rFonts w:ascii="Calibri" w:hAnsi="Calibri"/>
          <w:b/>
          <w:i w:val="0"/>
          <w:sz w:val="18"/>
        </w:rPr>
        <w:t>c1.L1.a2  ·  PARTIAL</w:t>
      </w:r>
    </w:p>
    <w:p>
      <w:pPr>
        <w:spacing w:after="20" w:before="0"/>
        <w:ind w:left="280"/>
      </w:pPr>
      <w:r>
        <w:rPr>
          <w:rFonts w:ascii="Calibri" w:hAnsi="Calibri"/>
          <w:b w:val="0"/>
          <w:i/>
          <w:color w:val="142B4A"/>
          <w:sz w:val="18"/>
        </w:rPr>
        <w:t>A method of treating CYP 450 and free radical mediated hepatotoxicity caused by at least one anti-TB drug selected from the group consisting of rifampicin, pyrazinamide, and isoniazid</w:t>
      </w:r>
    </w:p>
    <w:p>
      <w:pPr>
        <w:spacing w:after="60" w:before="0"/>
      </w:pPr>
      <w:r>
        <w:rPr>
          <w:rFonts w:ascii="Calibri" w:hAnsi="Calibri"/>
          <w:b w:val="0"/>
          <w:i w:val="0"/>
          <w:color w:val="595959"/>
          <w:sz w:val="16"/>
        </w:rPr>
        <w:t>Locator: Claim 1</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US20060057234A1 (Khanuja et al.)</w:t>
      </w:r>
    </w:p>
    <w:p>
      <w:pPr>
        <w:spacing w:after="80" w:before="0"/>
      </w:pPr>
      <w:r>
        <w:rPr>
          <w:rFonts w:ascii="Calibri" w:hAnsi="Calibri"/>
          <w:b w:val="0"/>
          <w:i w:val="0"/>
          <w:color w:val="595959"/>
          <w:sz w:val="16"/>
        </w:rPr>
        <w:t>COUNCIL SCIENT IND RES  ·  pub. 2006-03-16  ·  published before the subject's priority date  ·  channel: eligible</w:t>
      </w:r>
    </w:p>
    <w:p>
      <w:pPr>
        <w:spacing w:after="20" w:before="0"/>
      </w:pPr>
      <w:r>
        <w:rPr>
          <w:rFonts w:ascii="Calibri" w:hAnsi="Calibri"/>
          <w:b/>
          <w:i w:val="0"/>
          <w:sz w:val="18"/>
        </w:rPr>
        <w:t>c1.L1.a2  ·  PARTIAL</w:t>
      </w:r>
    </w:p>
    <w:p>
      <w:pPr>
        <w:spacing w:after="20" w:before="0"/>
        <w:ind w:left="280"/>
      </w:pPr>
      <w:r>
        <w:rPr>
          <w:rFonts w:ascii="Calibri" w:hAnsi="Calibri"/>
          <w:b w:val="0"/>
          <w:i/>
          <w:color w:val="142B4A"/>
          <w:sz w:val="18"/>
        </w:rPr>
        <w:t>Rifampicin100.420.113.8</w:t>
      </w:r>
    </w:p>
    <w:p>
      <w:pPr>
        <w:spacing w:after="60" w:before="0"/>
      </w:pPr>
      <w:r>
        <w:rPr>
          <w:rFonts w:ascii="Calibri" w:hAnsi="Calibri"/>
          <w:b w:val="0"/>
          <w:i w:val="0"/>
          <w:color w:val="595959"/>
          <w:sz w:val="16"/>
        </w:rPr>
        <w:t>Locator: Example 1/Table 1</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US20070269501A1 (Cardona et al.)</w:t>
      </w:r>
    </w:p>
    <w:p>
      <w:pPr>
        <w:spacing w:after="80" w:before="0"/>
      </w:pPr>
      <w:r>
        <w:rPr>
          <w:rFonts w:ascii="Calibri" w:hAnsi="Calibri"/>
          <w:b w:val="0"/>
          <w:i w:val="0"/>
          <w:color w:val="595959"/>
          <w:sz w:val="16"/>
        </w:rPr>
        <w:t>CARDONA IGLESIAS PERE J; AMAT RIERA ISABEL  ·  pub. 2007-11-22  ·  published before the subject's priority date  ·  channel: eligible</w:t>
      </w:r>
    </w:p>
    <w:p>
      <w:pPr>
        <w:spacing w:after="20" w:before="0"/>
      </w:pPr>
      <w:r>
        <w:rPr>
          <w:rFonts w:ascii="Calibri" w:hAnsi="Calibri"/>
          <w:b/>
          <w:i w:val="0"/>
          <w:sz w:val="18"/>
        </w:rPr>
        <w:t>c1.L1.a2  ·  PARTIAL</w:t>
      </w:r>
    </w:p>
    <w:p>
      <w:pPr>
        <w:spacing w:after="20" w:before="0"/>
        <w:ind w:left="280"/>
      </w:pPr>
      <w:r>
        <w:rPr>
          <w:rFonts w:ascii="Calibri" w:hAnsi="Calibri"/>
          <w:b w:val="0"/>
          <w:i/>
          <w:color w:val="142B4A"/>
          <w:sz w:val="18"/>
        </w:rPr>
        <w:t>At week 13, the treatment with rifampicin was started and concluded at week 17.</w:t>
      </w:r>
    </w:p>
    <w:p>
      <w:pPr>
        <w:spacing w:after="60" w:before="0"/>
      </w:pPr>
      <w:r>
        <w:rPr>
          <w:rFonts w:ascii="Calibri" w:hAnsi="Calibri"/>
          <w:b w:val="0"/>
          <w:i w:val="0"/>
          <w:color w:val="595959"/>
          <w:sz w:val="16"/>
        </w:rPr>
        <w:t>Locator: Example 3 II</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US20110038850A1 (Bagnol et al.)</w:t>
      </w:r>
    </w:p>
    <w:p>
      <w:pPr>
        <w:spacing w:after="80" w:before="0"/>
      </w:pPr>
      <w:r>
        <w:rPr>
          <w:rFonts w:ascii="Calibri" w:hAnsi="Calibri"/>
          <w:b w:val="0"/>
          <w:i w:val="0"/>
          <w:color w:val="595959"/>
          <w:sz w:val="16"/>
        </w:rPr>
        <w:t>BAGNOL DIDIER; GROTTICK ANDREW J  ·  pub. 2011-02-17  ·  published before the subject's priority date  ·  channel: eligible</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the sleep disorder is selected from the group consisting of psychophysiological insomnia, sleep state misperception, idiopathic insomnia, obstructive sleep apnea syndrome, central alveolar hypoventilation syndrome, periodic limb movement disorder, restless legs syndrome, hypnotic-dependent sleep disorder, toxin-induced sleep disorder, time zone change (jet lag) syndrome, shift work sleep disorder, irregular sleep-wak</w:t>
      </w:r>
    </w:p>
    <w:p>
      <w:pPr>
        <w:spacing w:after="60" w:before="0"/>
      </w:pPr>
      <w:r>
        <w:rPr>
          <w:rFonts w:ascii="Calibri" w:hAnsi="Calibri"/>
          <w:b w:val="0"/>
          <w:i w:val="0"/>
          <w:color w:val="595959"/>
          <w:sz w:val="16"/>
        </w:rPr>
        <w:t>Locator: Claim 25 / Detailed Description sleep disorder list</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In certain embodiments, route of administration is oral.</w:t>
      </w:r>
    </w:p>
    <w:p>
      <w:pPr>
        <w:spacing w:after="60" w:before="0"/>
      </w:pPr>
      <w:r>
        <w:rPr>
          <w:rFonts w:ascii="Calibri" w:hAnsi="Calibri"/>
          <w:b w:val="0"/>
          <w:i w:val="0"/>
          <w:color w:val="595959"/>
          <w:sz w:val="16"/>
        </w:rPr>
        <w:t>Locator: Routes of Administration section</w:t>
      </w:r>
    </w:p>
    <w:p>
      <w:pPr>
        <w:spacing w:after="20" w:before="0"/>
      </w:pPr>
      <w:r>
        <w:rPr>
          <w:rFonts w:ascii="Calibri" w:hAnsi="Calibri"/>
          <w:b/>
          <w:i w:val="0"/>
          <w:sz w:val="18"/>
        </w:rPr>
        <w:t>c4.L3.a1  ·  AMBIGUOUS</w:t>
      </w:r>
    </w:p>
    <w:p>
      <w:pPr>
        <w:spacing w:after="20" w:before="0"/>
        <w:ind w:left="280"/>
      </w:pPr>
      <w:r>
        <w:rPr>
          <w:rFonts w:ascii="Calibri" w:hAnsi="Calibri"/>
          <w:b w:val="0"/>
          <w:i/>
          <w:color w:val="142B4A"/>
          <w:sz w:val="18"/>
        </w:rPr>
        <w:t>Of course, these daily dosages can be delivered or administered in small amounts periodically during the course of a day.</w:t>
      </w:r>
    </w:p>
    <w:p>
      <w:pPr>
        <w:spacing w:after="60" w:before="0"/>
      </w:pPr>
      <w:r>
        <w:rPr>
          <w:rFonts w:ascii="Calibri" w:hAnsi="Calibri"/>
          <w:b w:val="0"/>
          <w:i w:val="0"/>
          <w:color w:val="595959"/>
          <w:sz w:val="16"/>
        </w:rPr>
        <w:t>Locator: Effective Dosage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US8329685B1 (Meyer)</w:t>
      </w:r>
    </w:p>
    <w:p>
      <w:pPr>
        <w:spacing w:after="80" w:before="0"/>
      </w:pPr>
      <w:r>
        <w:rPr>
          <w:rFonts w:ascii="Calibri" w:hAnsi="Calibri"/>
          <w:b w:val="0"/>
          <w:i w:val="0"/>
          <w:color w:val="595959"/>
          <w:sz w:val="16"/>
        </w:rPr>
        <w:t>MEYER PETRUS JOHANNES; UNIV NORTHWEST  ·  pub. 2012-12-11  ·  published before the subject's priority date  ·  channel: eligible</w:t>
      </w:r>
    </w:p>
    <w:p>
      <w:pPr>
        <w:spacing w:after="20" w:before="0"/>
      </w:pPr>
      <w:r>
        <w:rPr>
          <w:rFonts w:ascii="Calibri" w:hAnsi="Calibri"/>
          <w:b/>
          <w:i w:val="0"/>
          <w:sz w:val="18"/>
        </w:rPr>
        <w:t>c1.L1.a2  ·  PARTIAL</w:t>
      </w:r>
    </w:p>
    <w:p>
      <w:pPr>
        <w:spacing w:after="20" w:before="0"/>
        <w:ind w:left="280"/>
      </w:pPr>
      <w:r>
        <w:rPr>
          <w:rFonts w:ascii="Calibri" w:hAnsi="Calibri"/>
          <w:b w:val="0"/>
          <w:i/>
          <w:color w:val="142B4A"/>
          <w:sz w:val="18"/>
        </w:rPr>
        <w:t>RIFAMPIN 1) Abscesses, Bacteremia, Endocarditis, Pneumonia, Osteomyelitis, Cellulitis, Other [Methicillin-Sensitive Methicillin-Resistant] ( Staphylococcus aureus )</w:t>
      </w:r>
    </w:p>
    <w:p>
      <w:pPr>
        <w:spacing w:after="60" w:before="0"/>
      </w:pPr>
      <w:r>
        <w:rPr>
          <w:rFonts w:ascii="Calibri" w:hAnsi="Calibri"/>
          <w:b w:val="0"/>
          <w:i w:val="0"/>
          <w:color w:val="595959"/>
          <w:sz w:val="16"/>
        </w:rPr>
        <w:t>Locator: Statements of the Invention / Table O-P</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When the formulation containing the anti-infective agent to be enhanced by means of the nitrous oxide is to be in a liquid (including an encapsulated liquid) presentation for oral administration</w:t>
      </w:r>
    </w:p>
    <w:p>
      <w:pPr>
        <w:spacing w:after="60" w:before="0"/>
      </w:pPr>
      <w:r>
        <w:rPr>
          <w:rFonts w:ascii="Calibri" w:hAnsi="Calibri"/>
          <w:b w:val="0"/>
          <w:i w:val="0"/>
          <w:color w:val="595959"/>
          <w:sz w:val="16"/>
        </w:rPr>
        <w:t>Locator: Statements of the Invention (i) Anti-Infectives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US20100204205A1 (Barak et al.)</w:t>
      </w:r>
    </w:p>
    <w:p>
      <w:pPr>
        <w:spacing w:after="80" w:before="0"/>
      </w:pPr>
      <w:r>
        <w:rPr>
          <w:rFonts w:ascii="Calibri" w:hAnsi="Calibri"/>
          <w:b w:val="0"/>
          <w:i w:val="0"/>
          <w:color w:val="595959"/>
          <w:sz w:val="16"/>
        </w:rPr>
        <w:t>BARAK NIR; BECK YAFFA  et al.  ·  pub. 2010-08-12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In the preferred embodiment the composition is administered orally.</w:t>
      </w:r>
    </w:p>
    <w:p>
      <w:pPr>
        <w:spacing w:after="60" w:before="0"/>
      </w:pPr>
      <w:r>
        <w:rPr>
          <w:rFonts w:ascii="Calibri" w:hAnsi="Calibri"/>
          <w:b w:val="0"/>
          <w:i w:val="0"/>
          <w:color w:val="595959"/>
          <w:sz w:val="16"/>
        </w:rPr>
        <w:t>Locator: Formulations section</w:t>
      </w:r>
    </w:p>
    <w:p>
      <w:pPr>
        <w:spacing w:after="20" w:before="0"/>
      </w:pPr>
      <w:r>
        <w:rPr>
          <w:rFonts w:ascii="Calibri" w:hAnsi="Calibri"/>
          <w:b/>
          <w:i w:val="0"/>
          <w:sz w:val="18"/>
        </w:rPr>
        <w:t>c4.L4.a1  ·  PARTIAL  (by analogy)</w:t>
      </w:r>
    </w:p>
    <w:p>
      <w:pPr>
        <w:spacing w:after="20" w:before="0"/>
        <w:ind w:left="280"/>
      </w:pPr>
      <w:r>
        <w:rPr>
          <w:rFonts w:ascii="Calibri" w:hAnsi="Calibri"/>
          <w:b w:val="0"/>
          <w:i/>
          <w:color w:val="142B4A"/>
          <w:sz w:val="18"/>
        </w:rPr>
        <w:t>the first agent is administered within about 4 hours before bed, within about 2 hours before bed, within about 1 hour before bed or substantially immediately before bed</w:t>
      </w:r>
    </w:p>
    <w:p>
      <w:pPr>
        <w:spacing w:after="60" w:before="0"/>
      </w:pPr>
      <w:r>
        <w:rPr>
          <w:rFonts w:ascii="Calibri" w:hAnsi="Calibri"/>
          <w:b w:val="0"/>
          <w:i w:val="0"/>
          <w:color w:val="595959"/>
          <w:sz w:val="16"/>
        </w:rPr>
        <w:t>Locator: Claim 19</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US20050192221A1 (Mccray et al.)</w:t>
      </w:r>
    </w:p>
    <w:p>
      <w:pPr>
        <w:spacing w:after="80" w:before="0"/>
      </w:pPr>
      <w:r>
        <w:rPr>
          <w:rFonts w:ascii="Calibri" w:hAnsi="Calibri"/>
          <w:b w:val="0"/>
          <w:i w:val="0"/>
          <w:color w:val="595959"/>
          <w:sz w:val="16"/>
        </w:rPr>
        <w:t>MCCRAY PAUL B JR; WEISS JERRY  et al.  ·  pub. 2005-09-01  ·  published before the subject's priority date  ·  channel: eligible</w:t>
      </w:r>
    </w:p>
    <w:p>
      <w:pPr>
        <w:spacing w:after="20" w:before="0"/>
      </w:pPr>
      <w:r>
        <w:rPr>
          <w:rFonts w:ascii="Calibri" w:hAnsi="Calibri"/>
          <w:b/>
          <w:i w:val="0"/>
          <w:sz w:val="18"/>
        </w:rPr>
        <w:t>c1.L1.a2  ·  AMBIGUOUS</w:t>
      </w:r>
    </w:p>
    <w:p>
      <w:pPr>
        <w:spacing w:after="20" w:before="0"/>
        <w:ind w:left="280"/>
      </w:pPr>
      <w:r>
        <w:rPr>
          <w:rFonts w:ascii="Calibri" w:hAnsi="Calibri"/>
          <w:b w:val="0"/>
          <w:i/>
          <w:color w:val="142B4A"/>
          <w:sz w:val="18"/>
        </w:rPr>
        <w:t>rifamycin, rifampicin, gantrisin, trimethoprim, isoniazid, paraaminosalicylic acid, or ethambutol</w:t>
      </w:r>
    </w:p>
    <w:p>
      <w:pPr>
        <w:spacing w:after="60" w:before="0"/>
      </w:pPr>
      <w:r>
        <w:rPr>
          <w:rFonts w:ascii="Calibri" w:hAnsi="Calibri"/>
          <w:b w:val="0"/>
          <w:i w:val="0"/>
          <w:color w:val="595959"/>
          <w:sz w:val="16"/>
        </w:rPr>
        <w:t>Locator: claim 6</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WO2002005850A2 (Meyer)</w:t>
      </w:r>
    </w:p>
    <w:p>
      <w:pPr>
        <w:spacing w:after="80" w:before="0"/>
      </w:pPr>
      <w:r>
        <w:rPr>
          <w:rFonts w:ascii="Calibri" w:hAnsi="Calibri"/>
          <w:b w:val="0"/>
          <w:i w:val="0"/>
          <w:color w:val="595959"/>
          <w:sz w:val="16"/>
        </w:rPr>
        <w:t>PITMY INTERNAT N V; MEYER PETRUS JOHANNES  ·  pub. 2002-01-24  ·  published before the subject's priority date  ·  channel: eligible</w:t>
      </w:r>
    </w:p>
    <w:p>
      <w:pPr>
        <w:spacing w:after="20" w:before="0"/>
      </w:pPr>
      <w:r>
        <w:rPr>
          <w:rFonts w:ascii="Calibri" w:hAnsi="Calibri"/>
          <w:b/>
          <w:i w:val="0"/>
          <w:sz w:val="18"/>
        </w:rPr>
        <w:t>c1.L1.a2  ·  PARTIAL</w:t>
      </w:r>
    </w:p>
    <w:p>
      <w:pPr>
        <w:spacing w:after="20" w:before="0"/>
        <w:ind w:left="280"/>
      </w:pPr>
      <w:r>
        <w:rPr>
          <w:rFonts w:ascii="Calibri" w:hAnsi="Calibri"/>
          <w:b w:val="0"/>
          <w:i/>
          <w:color w:val="142B4A"/>
          <w:sz w:val="18"/>
        </w:rPr>
        <w:t>Rifampicin: Commercially available Rifampin tablets (600mg) were taken daily for four consecutive days</w:t>
      </w:r>
    </w:p>
    <w:p>
      <w:pPr>
        <w:spacing w:after="60" w:before="0"/>
      </w:pPr>
      <w:r>
        <w:rPr>
          <w:rFonts w:ascii="Calibri" w:hAnsi="Calibri"/>
          <w:b w:val="0"/>
          <w:i w:val="0"/>
          <w:color w:val="595959"/>
          <w:sz w:val="16"/>
        </w:rPr>
        <w:t>Locator: Example 6</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All drugs were orally administered in Soft Gel capsule form at applicable doses.</w:t>
      </w:r>
    </w:p>
    <w:p>
      <w:pPr>
        <w:spacing w:after="60" w:before="0"/>
      </w:pPr>
      <w:r>
        <w:rPr>
          <w:rFonts w:ascii="Calibri" w:hAnsi="Calibri"/>
          <w:b w:val="0"/>
          <w:i w:val="0"/>
          <w:color w:val="595959"/>
          <w:sz w:val="16"/>
        </w:rPr>
        <w:t>Locator: Example 6, 4.3 Study Supplies</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Commercially available Rifampin tablets (600mg) were taken daily for four consecutive days</w:t>
      </w:r>
    </w:p>
    <w:p>
      <w:pPr>
        <w:spacing w:after="60" w:before="0"/>
      </w:pPr>
      <w:r>
        <w:rPr>
          <w:rFonts w:ascii="Calibri" w:hAnsi="Calibri"/>
          <w:b w:val="0"/>
          <w:i w:val="0"/>
          <w:color w:val="595959"/>
          <w:sz w:val="16"/>
        </w:rPr>
        <w:t>Locator: Example 6</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US20110071080A1 (Mates et al.)</w:t>
      </w:r>
    </w:p>
    <w:p>
      <w:pPr>
        <w:spacing w:after="80" w:before="0"/>
      </w:pPr>
      <w:r>
        <w:rPr>
          <w:rFonts w:ascii="Calibri" w:hAnsi="Calibri"/>
          <w:b w:val="0"/>
          <w:i w:val="0"/>
          <w:color w:val="595959"/>
          <w:sz w:val="16"/>
        </w:rPr>
        <w:t>MATES SHARON; FIENBERG ALLEN  et al.  ·  pub. 2011-03-24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Compounds of the Invention may be administered by any suitable route, including orally, parenterally or transdermally, but are preferably administered orally.</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once daily, preferably via oral administration.</w:t>
      </w:r>
    </w:p>
    <w:p>
      <w:pPr>
        <w:spacing w:after="60" w:before="0"/>
      </w:pPr>
      <w:r>
        <w:rPr>
          <w:rFonts w:ascii="Calibri" w:hAnsi="Calibri"/>
          <w:b w:val="0"/>
          <w:i w:val="0"/>
          <w:color w:val="595959"/>
          <w:sz w:val="16"/>
        </w:rPr>
        <w:t>Locator: Dosages paragraph</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US20110123510A1 (Imai et al.)</w:t>
      </w:r>
    </w:p>
    <w:p>
      <w:pPr>
        <w:spacing w:after="80" w:before="0"/>
      </w:pPr>
      <w:r>
        <w:rPr>
          <w:rFonts w:ascii="Calibri" w:hAnsi="Calibri"/>
          <w:b w:val="0"/>
          <w:i w:val="0"/>
          <w:color w:val="595959"/>
          <w:sz w:val="16"/>
        </w:rPr>
        <w:t>UNIV WASHINGTON  ·  pub. 2011-05-26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Preferably, the compounds are formulated for oral dosage and preferably in the form of tablets, pills, dragees, capsules, liquids, gels, syrups, slurries, suspensions, wafers, and the like, for oral ingestion by a patient to be treated.</w:t>
      </w:r>
    </w:p>
    <w:p>
      <w:pPr>
        <w:spacing w:after="60" w:before="0"/>
      </w:pPr>
      <w:r>
        <w:rPr>
          <w:rFonts w:ascii="Calibri" w:hAnsi="Calibri"/>
          <w:b w:val="0"/>
          <w:i w:val="0"/>
          <w:color w:val="595959"/>
          <w:sz w:val="16"/>
        </w:rPr>
        <w:t>Locator: Routes of Administration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Preferably, the effective amounts are administered as a daily dose.</w:t>
      </w:r>
    </w:p>
    <w:p>
      <w:pPr>
        <w:spacing w:after="60" w:before="0"/>
      </w:pPr>
      <w:r>
        <w:rPr>
          <w:rFonts w:ascii="Calibri" w:hAnsi="Calibri"/>
          <w:b w:val="0"/>
          <w:i w:val="0"/>
          <w:color w:val="595959"/>
          <w:sz w:val="16"/>
        </w:rPr>
        <w:t>Locator: Dosage/Amount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US20110046141A1 (Golombek et al.)</w:t>
      </w:r>
    </w:p>
    <w:p>
      <w:pPr>
        <w:spacing w:after="80" w:before="0"/>
      </w:pPr>
      <w:r>
        <w:rPr>
          <w:rFonts w:ascii="Calibri" w:hAnsi="Calibri"/>
          <w:b w:val="0"/>
          <w:i w:val="0"/>
          <w:color w:val="595959"/>
          <w:sz w:val="16"/>
        </w:rPr>
        <w:t>CONSEJO NAC INVEST CIENT TEC; UNIV NAC QUILMES  ·  pub. 2011-02-24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the PDE5 inhibitors, their pharmaceutically acceptable salts, and pharmaceutically acceptable solvates, when used in accordance with the invention, can be administered orally, buccally or sublingually in the form of tablets, capsules</w:t>
      </w:r>
    </w:p>
    <w:p>
      <w:pPr>
        <w:spacing w:after="60" w:before="0"/>
      </w:pPr>
      <w:r>
        <w:rPr>
          <w:rFonts w:ascii="Calibri" w:hAnsi="Calibri"/>
          <w:b w:val="0"/>
          <w:i w:val="0"/>
          <w:color w:val="595959"/>
          <w:sz w:val="16"/>
        </w:rPr>
        <w:t>Locator: Routes of Administration</w:t>
      </w:r>
    </w:p>
    <w:p>
      <w:pPr>
        <w:spacing w:after="20" w:before="0"/>
      </w:pPr>
      <w:r>
        <w:rPr>
          <w:rFonts w:ascii="Calibri" w:hAnsi="Calibri"/>
          <w:b/>
          <w:i w:val="0"/>
          <w:sz w:val="18"/>
        </w:rPr>
        <w:t>c4.L3.a1  ·  AMBIGUOUS</w:t>
      </w:r>
    </w:p>
    <w:p>
      <w:pPr>
        <w:spacing w:after="20" w:before="0"/>
        <w:ind w:left="280"/>
      </w:pPr>
      <w:r>
        <w:rPr>
          <w:rFonts w:ascii="Calibri" w:hAnsi="Calibri"/>
          <w:b w:val="0"/>
          <w:i/>
          <w:color w:val="142B4A"/>
          <w:sz w:val="18"/>
        </w:rPr>
        <w:t>In certain cases, a single dose of the PDE5 inhibitor is administered.</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the PDE5 inhibitor may be administered late at night, e.g., immediately prior to the subject going to sleep.</w:t>
      </w:r>
    </w:p>
    <w:p>
      <w:pPr>
        <w:spacing w:after="60" w:before="0"/>
      </w:pPr>
      <w:r>
        <w:rPr>
          <w:rFonts w:ascii="Calibri" w:hAnsi="Calibri"/>
          <w:b w:val="0"/>
          <w:i w:val="0"/>
          <w:color w:val="595959"/>
          <w:sz w:val="16"/>
        </w:rPr>
        <w:t>Locator: Detailed Description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US20100120887A1 (Terman et al.)</w:t>
      </w:r>
    </w:p>
    <w:p>
      <w:pPr>
        <w:spacing w:after="80" w:before="0"/>
      </w:pPr>
      <w:r>
        <w:rPr>
          <w:rFonts w:ascii="Calibri" w:hAnsi="Calibri"/>
          <w:b w:val="0"/>
          <w:i w:val="0"/>
          <w:color w:val="595959"/>
          <w:sz w:val="16"/>
        </w:rPr>
        <w:t>UNIV COLUMBIA  ·  pub. 2010-05-13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A method of treating a sleep disorder in a subject, comprising administering to a subject in need of such treatment a sustained release formulation of melatonin</w:t>
      </w:r>
    </w:p>
    <w:p>
      <w:pPr>
        <w:spacing w:after="60" w:before="0"/>
      </w:pPr>
      <w:r>
        <w:rPr>
          <w:rFonts w:ascii="Calibri" w:hAnsi="Calibri"/>
          <w:b w:val="0"/>
          <w:i w:val="0"/>
          <w:color w:val="595959"/>
          <w:sz w:val="16"/>
        </w:rPr>
        <w:t>Locator: Claim 1</w:t>
      </w:r>
    </w:p>
    <w:p>
      <w:pPr>
        <w:spacing w:after="20" w:before="0"/>
      </w:pPr>
      <w:r>
        <w:rPr>
          <w:rFonts w:ascii="Calibri" w:hAnsi="Calibri"/>
          <w:b/>
          <w:i w:val="0"/>
          <w:sz w:val="18"/>
        </w:rPr>
        <w:t>c2.L1.a1  ·  PARTIAL</w:t>
      </w:r>
    </w:p>
    <w:p>
      <w:pPr>
        <w:spacing w:after="20" w:before="0"/>
        <w:ind w:left="280"/>
      </w:pPr>
      <w:r>
        <w:rPr>
          <w:rFonts w:ascii="Calibri" w:hAnsi="Calibri"/>
          <w:b w:val="0"/>
          <w:i/>
          <w:color w:val="142B4A"/>
          <w:sz w:val="18"/>
        </w:rPr>
        <w:t>circadian rhythm disorders, sleep disorder associated with depression, hypertension, shift work/daytime sleep-related disorders; jet lag</w:t>
      </w:r>
    </w:p>
    <w:p>
      <w:pPr>
        <w:spacing w:after="60" w:before="0"/>
      </w:pPr>
      <w:r>
        <w:rPr>
          <w:rFonts w:ascii="Calibri" w:hAnsi="Calibri"/>
          <w:b w:val="0"/>
          <w:i w:val="0"/>
          <w:color w:val="595959"/>
          <w:sz w:val="16"/>
        </w:rPr>
        <w:t>Locator: Methods of Treatment</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The SR formulation of the invention is administered orally.</w:t>
      </w:r>
    </w:p>
    <w:p>
      <w:pPr>
        <w:spacing w:after="60" w:before="0"/>
      </w:pPr>
      <w:r>
        <w:rPr>
          <w:rFonts w:ascii="Calibri" w:hAnsi="Calibri"/>
          <w:b w:val="0"/>
          <w:i w:val="0"/>
          <w:color w:val="595959"/>
          <w:sz w:val="16"/>
        </w:rPr>
        <w:t>Locator: Methods of Treatment</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A regimen may, in non-limiting embodiments of the invention, continue for up to 5 days, up to one week</w:t>
      </w:r>
    </w:p>
    <w:p>
      <w:pPr>
        <w:spacing w:after="60" w:before="0"/>
      </w:pPr>
      <w:r>
        <w:rPr>
          <w:rFonts w:ascii="Calibri" w:hAnsi="Calibri"/>
          <w:b w:val="0"/>
          <w:i w:val="0"/>
          <w:color w:val="595959"/>
          <w:sz w:val="16"/>
        </w:rPr>
        <w:t>Locator: Methods of Treatment</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a SR dose of melatonin according to the invention may be given about 2-3 hours before a desired (or habitual) bedtime</w:t>
      </w:r>
    </w:p>
    <w:p>
      <w:pPr>
        <w:spacing w:after="60" w:before="0"/>
      </w:pPr>
      <w:r>
        <w:rPr>
          <w:rFonts w:ascii="Calibri" w:hAnsi="Calibri"/>
          <w:b w:val="0"/>
          <w:i w:val="0"/>
          <w:color w:val="595959"/>
          <w:sz w:val="16"/>
        </w:rPr>
        <w:t>Locator: Methods of Treatment</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US20120264796A1 (Evans et al.)</w:t>
      </w:r>
    </w:p>
    <w:p>
      <w:pPr>
        <w:spacing w:after="80" w:before="0"/>
      </w:pPr>
      <w:r>
        <w:rPr>
          <w:rFonts w:ascii="Calibri" w:hAnsi="Calibri"/>
          <w:b w:val="0"/>
          <w:i w:val="0"/>
          <w:color w:val="595959"/>
          <w:sz w:val="16"/>
        </w:rPr>
        <w:t>EVANS RONALD; LAMIA KATJA A  et al.  ·  pub. 2012-10-18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The disclosure provides methods and compositions for modifying circadian rhythms in a mammalian subject such as a human.</w:t>
      </w:r>
    </w:p>
    <w:p>
      <w:pPr>
        <w:spacing w:after="60" w:before="0"/>
      </w:pPr>
      <w:r>
        <w:rPr>
          <w:rFonts w:ascii="Calibri" w:hAnsi="Calibri"/>
          <w:b w:val="0"/>
          <w:i w:val="0"/>
          <w:color w:val="595959"/>
          <w:sz w:val="16"/>
        </w:rPr>
        <w:t>Locator: SUMMARY</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In a specific example, the AMPK agonist is administered orally.</w:t>
      </w:r>
    </w:p>
    <w:p>
      <w:pPr>
        <w:spacing w:after="60" w:before="0"/>
      </w:pPr>
      <w:r>
        <w:rPr>
          <w:rFonts w:ascii="Calibri" w:hAnsi="Calibri"/>
          <w:b w:val="0"/>
          <w:i w:val="0"/>
          <w:color w:val="595959"/>
          <w:sz w:val="16"/>
        </w:rPr>
        <w:t>Locator: Detailed Description, administration section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A suitably prepared medicament for once a day administration would thus contain between 0.08 mg and 8 g, such as between 0.8 mg and 800 mg.</w:t>
      </w:r>
    </w:p>
    <w:p>
      <w:pPr>
        <w:spacing w:after="60" w:before="0"/>
      </w:pPr>
      <w:r>
        <w:rPr>
          <w:rFonts w:ascii="Calibri" w:hAnsi="Calibri"/>
          <w:b w:val="0"/>
          <w:i w:val="0"/>
          <w:color w:val="595959"/>
          <w:sz w:val="16"/>
        </w:rPr>
        <w:t>Locator: Dosage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US20130064804A1 (Naidu et al.)</w:t>
      </w:r>
    </w:p>
    <w:p>
      <w:pPr>
        <w:spacing w:after="80" w:before="0"/>
      </w:pPr>
      <w:r>
        <w:rPr>
          <w:rFonts w:ascii="Calibri" w:hAnsi="Calibri"/>
          <w:b w:val="0"/>
          <w:i w:val="0"/>
          <w:color w:val="595959"/>
          <w:sz w:val="16"/>
        </w:rPr>
        <w:t>NAIDU A SATYANARAYAN; NAIDU A G SREUS  et al.  ·  pub. 2013-03-14  ·  earlier-filed, later-published (§ 102(a)(2))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the disorder is a disorder in sleep architecture which is a circadian rhythm disorder</w:t>
      </w:r>
    </w:p>
    <w:p>
      <w:pPr>
        <w:spacing w:after="60" w:before="0"/>
      </w:pPr>
      <w:r>
        <w:rPr>
          <w:rFonts w:ascii="Calibri" w:hAnsi="Calibri"/>
          <w:b w:val="0"/>
          <w:i w:val="0"/>
          <w:color w:val="595959"/>
          <w:sz w:val="16"/>
        </w:rPr>
        <w:t>Locator: Summary of Invention</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Non 24-Hour Sleep Wake Disorder (Non-24), a condition in which an individual has a normal sleep pattern but lives in a 25-hour day.</w:t>
      </w:r>
    </w:p>
    <w:p>
      <w:pPr>
        <w:spacing w:after="60" w:before="0"/>
      </w:pPr>
      <w:r>
        <w:rPr>
          <w:rFonts w:ascii="Calibri" w:hAnsi="Calibri"/>
          <w:b w:val="0"/>
          <w:i w:val="0"/>
          <w:color w:val="595959"/>
          <w:sz w:val="16"/>
        </w:rPr>
        <w:t>Locator: Example-5</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The BioRep formulations could be administered by various routes, the most preferred is oral, but also by other routes</w:t>
      </w:r>
    </w:p>
    <w:p>
      <w:pPr>
        <w:spacing w:after="60" w:before="0"/>
      </w:pPr>
      <w:r>
        <w:rPr>
          <w:rFonts w:ascii="Calibri" w:hAnsi="Calibri"/>
          <w:b w:val="0"/>
          <w:i w:val="0"/>
          <w:color w:val="595959"/>
          <w:sz w:val="16"/>
        </w:rPr>
        <w:t>Locator: Detailed Description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US20100261786A1 (Lavedan et al.)</w:t>
      </w:r>
      <w:r>
        <w:rPr>
          <w:rFonts w:ascii="Calibri" w:hAnsi="Calibri"/>
          <w:b w:val="0"/>
          <w:i w:val="0"/>
          <w:color w:val="142B4A"/>
          <w:sz w:val="20"/>
        </w:rPr>
        <w:t xml:space="preserve">  PREDICTION OF SLEEP PARAMETER AND RESPONSE TO SLEEP-INDUCING COMPOUND BASED ON PER3 VNTR GENOTYPE</w:t>
      </w:r>
    </w:p>
    <w:p>
      <w:pPr>
        <w:spacing w:after="80" w:before="0"/>
      </w:pPr>
      <w:r>
        <w:rPr>
          <w:rFonts w:ascii="Calibri" w:hAnsi="Calibri"/>
          <w:b w:val="0"/>
          <w:i w:val="0"/>
          <w:color w:val="595959"/>
          <w:sz w:val="16"/>
        </w:rPr>
        <w:t>LAVEDAN CHRISTIAN; POLYMEROPOULOS MIHAEL H  et al.  ·  pub. 2010-10-14  ·  published before the subject's priority date  ·  channel: eligible</w:t>
      </w:r>
    </w:p>
    <w:p>
      <w:pPr>
        <w:spacing w:after="20" w:before="0"/>
      </w:pPr>
      <w:r>
        <w:rPr>
          <w:rFonts w:ascii="Calibri" w:hAnsi="Calibri"/>
          <w:b/>
          <w:i w:val="0"/>
          <w:sz w:val="18"/>
        </w:rPr>
        <w:t>c2.L1.a1  ·  PARTIAL</w:t>
      </w:r>
    </w:p>
    <w:p>
      <w:pPr>
        <w:spacing w:after="20" w:before="0"/>
        <w:ind w:left="280"/>
      </w:pPr>
      <w:r>
        <w:rPr>
          <w:rFonts w:ascii="Calibri" w:hAnsi="Calibri"/>
          <w:b w:val="0"/>
          <w:i/>
          <w:color w:val="142B4A"/>
          <w:sz w:val="18"/>
        </w:rPr>
        <w:t>(1R-trans)-N-[[2-(2,3-dihydro-4-benzofuranyl)cyclopropyl]methyl]propananamide (VEC-162) is a specific and potent agonist of the MT1R and MT2R melatonin receptors, currently in clinical development for the treatment of primary insomnia and circadian rhythm sleep disorders (CRSD).</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c4.L1.a1  ·  EXPLICIT</w:t>
      </w:r>
    </w:p>
    <w:p>
      <w:pPr>
        <w:spacing w:after="20" w:before="0"/>
        <w:ind w:left="280"/>
      </w:pPr>
      <w:r>
        <w:rPr>
          <w:rFonts w:ascii="Calibri" w:hAnsi="Calibri"/>
          <w:b w:val="0"/>
          <w:i/>
          <w:color w:val="142B4A"/>
          <w:sz w:val="18"/>
        </w:rPr>
        <w:t>The route of administration is usually oral although other routes of administration, e.g., parenteral, intravenous, intramuscular, buccal, lozenge, transdermal, transmucosal, etc., can be used.</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c4.L2.a1  ·  EXPLICIT</w:t>
      </w:r>
    </w:p>
    <w:p>
      <w:pPr>
        <w:spacing w:after="20" w:before="0"/>
        <w:ind w:left="280"/>
      </w:pPr>
      <w:r>
        <w:rPr>
          <w:rFonts w:ascii="Calibri" w:hAnsi="Calibri"/>
          <w:b w:val="0"/>
          <w:i/>
          <w:color w:val="142B4A"/>
          <w:sz w:val="18"/>
        </w:rPr>
        <w:t>A typical unit dose form could be size 0 or size 1 capsule comprising 20, 50, or 100 mg of (1R-trans)-N-[[2-(2,3-dihydro-4-benzofuranyl)cyclopropyl]methyl]propanamide</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the dose of (1R-trans)-N-[[2-(2,3-dihydro-4-benzofuranyl)cyclopropyl]methyl]propanamide will be in the range of about 10 mg/day to about 100 mg/day, in one or more unit dosage forms.</w:t>
      </w:r>
    </w:p>
    <w:p>
      <w:pPr>
        <w:spacing w:after="60" w:before="0"/>
      </w:pPr>
      <w:r>
        <w:rPr>
          <w:rFonts w:ascii="Calibri" w:hAnsi="Calibri"/>
          <w:b w:val="0"/>
          <w:i w:val="0"/>
          <w:color w:val="595959"/>
          <w:sz w:val="16"/>
        </w:rPr>
        <w:t>Locator: Detailed Description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US20120197235A1 (Fan)</w:t>
      </w:r>
    </w:p>
    <w:p>
      <w:pPr>
        <w:spacing w:after="80" w:before="0"/>
      </w:pPr>
      <w:r>
        <w:rPr>
          <w:rFonts w:ascii="Calibri" w:hAnsi="Calibri"/>
          <w:b w:val="0"/>
          <w:i w:val="0"/>
          <w:color w:val="595959"/>
          <w:sz w:val="16"/>
        </w:rPr>
        <w:t>FAN JIAN-QIANG  ·  pub. 2012-08-02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the pharmaceutical compositions are preferably administered in an oral dosage form, preferably for gastrointestinal adsorption.</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The administration may be carried out in one or multiple doses, preferably a single dose.</w:t>
      </w:r>
    </w:p>
    <w:p>
      <w:pPr>
        <w:spacing w:after="60" w:before="0"/>
      </w:pPr>
      <w:r>
        <w:rPr>
          <w:rFonts w:ascii="Calibri" w:hAnsi="Calibri"/>
          <w:b w:val="0"/>
          <w:i w:val="0"/>
          <w:color w:val="595959"/>
          <w:sz w:val="16"/>
        </w:rPr>
        <w:t>Locator: Detailed Description</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The pharmaceutical composition may be administered to the subject before sleep, for example, within about 2 hours, 1 hour, 30 minutes, 15 minutes or 5 minutes before sleep.</w:t>
      </w:r>
    </w:p>
    <w:p>
      <w:pPr>
        <w:spacing w:after="60" w:before="0"/>
      </w:pPr>
      <w:r>
        <w:rPr>
          <w:rFonts w:ascii="Calibri" w:hAnsi="Calibri"/>
          <w:b w:val="0"/>
          <w:i w:val="0"/>
          <w:color w:val="595959"/>
          <w:sz w:val="16"/>
        </w:rPr>
        <w:t>Locator: Detailed Description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US6323218B1 (Bush et al.)</w:t>
      </w:r>
    </w:p>
    <w:p>
      <w:pPr>
        <w:spacing w:after="80" w:before="0"/>
      </w:pPr>
      <w:r>
        <w:rPr>
          <w:rFonts w:ascii="Calibri" w:hAnsi="Calibri"/>
          <w:b w:val="0"/>
          <w:i w:val="0"/>
          <w:color w:val="595959"/>
          <w:sz w:val="16"/>
        </w:rPr>
        <w:t>GEN HOSPITAL CORP  ·  pub. 2001-11-27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When the active agents are suitably protected they may be orally administered, for example, with an inert diluent or with an assimilable edible carrier, or it may be enclosed in hard or soft shell gelatin capsule, or it may be compressed into tablets</w:t>
      </w:r>
    </w:p>
    <w:p>
      <w:pPr>
        <w:spacing w:after="60" w:before="0"/>
      </w:pPr>
      <w:r>
        <w:rPr>
          <w:rFonts w:ascii="Calibri" w:hAnsi="Calibri"/>
          <w:b w:val="0"/>
          <w:i w:val="0"/>
          <w:color w:val="595959"/>
          <w:sz w:val="16"/>
        </w:rPr>
        <w:t>Locator: Pharmaceutical composition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PMID:23616713 (Mets et al. 2010)</w:t>
      </w:r>
      <w:r>
        <w:rPr>
          <w:rFonts w:ascii="Calibri" w:hAnsi="Calibri"/>
          <w:b w:val="0"/>
          <w:i w:val="0"/>
          <w:color w:val="142B4A"/>
          <w:sz w:val="20"/>
        </w:rPr>
        <w:t xml:space="preserve">  Critical appraisal of ramelteon in the treatment of insomnia</w:t>
      </w:r>
    </w:p>
    <w:p>
      <w:pPr>
        <w:spacing w:after="80" w:before="0"/>
      </w:pPr>
      <w:r>
        <w:rPr>
          <w:rFonts w:ascii="Calibri" w:hAnsi="Calibri"/>
          <w:b w:val="0"/>
          <w:i w:val="0"/>
          <w:color w:val="595959"/>
          <w:sz w:val="16"/>
        </w:rPr>
        <w:t>pub. 2010-11-10  ·  published before the subject's priority date  ·  channel: eligible</w:t>
      </w:r>
    </w:p>
    <w:p>
      <w:pPr>
        <w:spacing w:after="20" w:before="0"/>
      </w:pPr>
      <w:r>
        <w:rPr>
          <w:rFonts w:ascii="Calibri" w:hAnsi="Calibri"/>
          <w:b/>
          <w:i w:val="0"/>
          <w:sz w:val="18"/>
        </w:rPr>
        <w:t>c1.L2.a1  ·  NOT_FOUND</w:t>
      </w:r>
    </w:p>
    <w:p>
      <w:pPr>
        <w:spacing w:after="20" w:before="0"/>
      </w:pPr>
      <w:r>
        <w:rPr>
          <w:rFonts w:ascii="Calibri" w:hAnsi="Calibri"/>
          <w:b/>
          <w:i w:val="0"/>
          <w:color w:val="595959"/>
          <w:sz w:val="17"/>
        </w:rPr>
        <w:t>Analogous teaching (awaiting attorney) for ramelteon</w:t>
      </w:r>
    </w:p>
    <w:p>
      <w:pPr>
        <w:spacing w:after="20" w:before="0"/>
        <w:ind w:left="280"/>
      </w:pPr>
      <w:r>
        <w:rPr>
          <w:rFonts w:ascii="Calibri" w:hAnsi="Calibri"/>
          <w:b w:val="0"/>
          <w:i/>
          <w:color w:val="142B4A"/>
          <w:sz w:val="18"/>
        </w:rPr>
        <w:t>Rifampin, a strong CYP enzyme inducer, decreases ramelteon efficacy by lowering exposure to ramelteon and M-II.</w:t>
      </w:r>
    </w:p>
    <w:p>
      <w:pPr>
        <w:spacing w:after="60" w:before="0"/>
      </w:pPr>
      <w:r>
        <w:rPr>
          <w:rFonts w:ascii="Calibri" w:hAnsi="Calibri"/>
          <w:b w:val="0"/>
          <w:i w:val="0"/>
          <w:color w:val="595959"/>
          <w:sz w:val="16"/>
        </w:rPr>
        <w:t>Locator: Drug interactions section</w:t>
      </w:r>
    </w:p>
    <w:p>
      <w:pPr>
        <w:spacing w:after="20" w:before="0"/>
      </w:pPr>
      <w:r>
        <w:rPr>
          <w:rFonts w:ascii="Calibri" w:hAnsi="Calibri"/>
          <w:b/>
          <w:i w:val="0"/>
          <w:sz w:val="18"/>
        </w:rPr>
        <w:t>c2.L1.a1  ·  AMBIGUOUS</w:t>
      </w:r>
    </w:p>
    <w:p>
      <w:pPr>
        <w:spacing w:after="20" w:before="0"/>
        <w:ind w:left="280"/>
      </w:pPr>
      <w:r>
        <w:rPr>
          <w:rFonts w:ascii="Calibri" w:hAnsi="Calibri"/>
          <w:b w:val="0"/>
          <w:i/>
          <w:color w:val="142B4A"/>
          <w:sz w:val="18"/>
        </w:rPr>
        <w:t>Furthermore, preliminary evidence suggests that ramelteon may be effective in the treatment of circadian rhythm disorders.</w:t>
      </w:r>
    </w:p>
    <w:p>
      <w:pPr>
        <w:spacing w:after="60" w:before="0"/>
      </w:pPr>
      <w:r>
        <w:rPr>
          <w:rFonts w:ascii="Calibri" w:hAnsi="Calibri"/>
          <w:b w:val="0"/>
          <w:i w:val="0"/>
          <w:color w:val="595959"/>
          <w:sz w:val="16"/>
        </w:rPr>
        <w:t>Locator: Discussion</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After oral administration, ramelteon is rapidly absorbed and reaches peak serum concentrations after one hour.</w:t>
      </w:r>
    </w:p>
    <w:p>
      <w:pPr>
        <w:spacing w:after="60" w:before="0"/>
      </w:pPr>
      <w:r>
        <w:rPr>
          <w:rFonts w:ascii="Calibri" w:hAnsi="Calibri"/>
          <w:b w:val="0"/>
          <w:i w:val="0"/>
          <w:color w:val="595959"/>
          <w:sz w:val="16"/>
        </w:rPr>
        <w:t>Locator: Pharmacokinetics</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it should be kept in mind that the recommended dose of ramelteon for the treatment of insomnia is 8 mg, taken at bedtime.</w:t>
      </w:r>
    </w:p>
    <w:p>
      <w:pPr>
        <w:spacing w:after="60" w:before="0"/>
      </w:pPr>
      <w:r>
        <w:rPr>
          <w:rFonts w:ascii="Calibri" w:hAnsi="Calibri"/>
          <w:b w:val="0"/>
          <w:i w:val="0"/>
          <w:color w:val="595959"/>
          <w:sz w:val="16"/>
        </w:rPr>
        <w:t>Locator: Efficacy</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the recommended dose of ramelteon for the treatment of insomnia is 8 mg, taken at bedtime.</w:t>
      </w:r>
    </w:p>
    <w:p>
      <w:pPr>
        <w:spacing w:after="60" w:before="0"/>
      </w:pPr>
      <w:r>
        <w:rPr>
          <w:rFonts w:ascii="Calibri" w:hAnsi="Calibri"/>
          <w:b w:val="0"/>
          <w:i w:val="0"/>
          <w:color w:val="595959"/>
          <w:sz w:val="16"/>
        </w:rPr>
        <w:t>Locator: Efficacy</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PMID:19579175 (Hardeland 2009)</w:t>
      </w:r>
      <w:r>
        <w:rPr>
          <w:rFonts w:ascii="Calibri" w:hAnsi="Calibri"/>
          <w:b w:val="0"/>
          <w:i w:val="0"/>
          <w:color w:val="142B4A"/>
          <w:sz w:val="20"/>
        </w:rPr>
        <w:t xml:space="preserve">  Tasimelteon, a melatonin agonist for the treatment of insomnia and circadian rhythm sleep disorders</w:t>
      </w:r>
    </w:p>
    <w:p>
      <w:pPr>
        <w:spacing w:after="80" w:before="0"/>
      </w:pPr>
      <w:r>
        <w:rPr>
          <w:rFonts w:ascii="Calibri" w:hAnsi="Calibri"/>
          <w:b w:val="0"/>
          <w:i w:val="0"/>
          <w:color w:val="595959"/>
          <w:sz w:val="16"/>
        </w:rPr>
        <w:t>pub. 2009-07-01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Tasimelteon, a melatonin agonist for the treatment of insomnia and circadian rhythm sleep disorders.</w:t>
      </w:r>
    </w:p>
    <w:p>
      <w:pPr>
        <w:spacing w:after="60" w:before="0"/>
      </w:pPr>
      <w:r>
        <w:rPr>
          <w:rFonts w:ascii="Calibri" w:hAnsi="Calibri"/>
          <w:b w:val="0"/>
          <w:i w:val="0"/>
          <w:color w:val="595959"/>
          <w:sz w:val="16"/>
        </w:rPr>
        <w:t>Locator: title</w:t>
      </w:r>
    </w:p>
    <w:p>
      <w:pPr>
        <w:spacing w:after="20" w:before="0"/>
      </w:pPr>
      <w:r>
        <w:rPr>
          <w:rFonts w:ascii="Calibri" w:hAnsi="Calibri"/>
          <w:b/>
          <w:i w:val="0"/>
          <w:sz w:val="18"/>
        </w:rPr>
        <w:t>c2.L1.a1  ·  AMBIGUOUS</w:t>
      </w:r>
    </w:p>
    <w:p>
      <w:pPr>
        <w:spacing w:after="20" w:before="0"/>
        <w:ind w:left="280"/>
      </w:pPr>
      <w:r>
        <w:rPr>
          <w:rFonts w:ascii="Calibri" w:hAnsi="Calibri"/>
          <w:b w:val="0"/>
          <w:i/>
          <w:color w:val="142B4A"/>
          <w:sz w:val="18"/>
        </w:rPr>
        <w:t>circadian rhythm sleep disorders</w:t>
      </w:r>
    </w:p>
    <w:p>
      <w:pPr>
        <w:spacing w:after="60" w:before="0"/>
      </w:pPr>
      <w:r>
        <w:rPr>
          <w:rFonts w:ascii="Calibri" w:hAnsi="Calibri"/>
          <w:b w:val="0"/>
          <w:i w:val="0"/>
          <w:color w:val="595959"/>
          <w:sz w:val="16"/>
        </w:rPr>
        <w:t>Locator: abstract</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PMID:21760817 (Sánchez-Barceló et al. 2011)</w:t>
      </w:r>
      <w:r>
        <w:rPr>
          <w:rFonts w:ascii="Calibri" w:hAnsi="Calibri"/>
          <w:b w:val="0"/>
          <w:i w:val="0"/>
          <w:color w:val="142B4A"/>
          <w:sz w:val="20"/>
        </w:rPr>
        <w:t xml:space="preserve">  Clinical uses of melatonin in pediatrics</w:t>
      </w:r>
    </w:p>
    <w:p>
      <w:pPr>
        <w:spacing w:after="80" w:before="0"/>
      </w:pPr>
      <w:r>
        <w:rPr>
          <w:rFonts w:ascii="Calibri" w:hAnsi="Calibri"/>
          <w:b w:val="0"/>
          <w:i w:val="0"/>
          <w:color w:val="595959"/>
          <w:sz w:val="16"/>
        </w:rPr>
        <w:t>pub. 2011-06-16  ·  published before the subject's priority date  ·  channel: eligible</w:t>
      </w:r>
    </w:p>
    <w:p>
      <w:pPr>
        <w:spacing w:after="20" w:before="0"/>
      </w:pPr>
      <w:r>
        <w:rPr>
          <w:rFonts w:ascii="Calibri" w:hAnsi="Calibri"/>
          <w:b/>
          <w:i w:val="0"/>
          <w:sz w:val="18"/>
        </w:rPr>
        <w:t>c3.L1.a1  ·  PARTIAL</w:t>
      </w:r>
    </w:p>
    <w:p>
      <w:pPr>
        <w:spacing w:after="20" w:before="0"/>
        <w:ind w:left="280"/>
      </w:pPr>
      <w:r>
        <w:rPr>
          <w:rFonts w:ascii="Calibri" w:hAnsi="Calibri"/>
          <w:b w:val="0"/>
          <w:i/>
          <w:color w:val="142B4A"/>
          <w:sz w:val="18"/>
        </w:rPr>
        <w:t>Not only blind children with other neurologic pathologies but also those suffering only visual impairments often have associated sleep-wake cycle disorders</w:t>
      </w:r>
    </w:p>
    <w:p>
      <w:pPr>
        <w:spacing w:after="60" w:before="0"/>
      </w:pPr>
      <w:r>
        <w:rPr>
          <w:rFonts w:ascii="Calibri" w:hAnsi="Calibri"/>
          <w:b w:val="0"/>
          <w:i w:val="0"/>
          <w:color w:val="595959"/>
          <w:sz w:val="16"/>
        </w:rPr>
        <w:t>Locator: Section 2.2</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These children received either melatonin (5 mg) or placebo for a period of 4-weeks</w:t>
      </w:r>
    </w:p>
    <w:p>
      <w:pPr>
        <w:spacing w:after="60" w:before="0"/>
      </w:pPr>
      <w:r>
        <w:rPr>
          <w:rFonts w:ascii="Calibri" w:hAnsi="Calibri"/>
          <w:b w:val="0"/>
          <w:i w:val="0"/>
          <w:color w:val="595959"/>
          <w:sz w:val="16"/>
        </w:rPr>
        <w:t>Locator: Section 2.3</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melatonin (5 mg/day, 20 minutes before bedtime) or placebo</w:t>
      </w:r>
    </w:p>
    <w:p>
      <w:pPr>
        <w:spacing w:after="60" w:before="0"/>
      </w:pPr>
      <w:r>
        <w:rPr>
          <w:rFonts w:ascii="Calibri" w:hAnsi="Calibri"/>
          <w:b w:val="0"/>
          <w:i w:val="0"/>
          <w:color w:val="595959"/>
          <w:sz w:val="16"/>
        </w:rPr>
        <w:t>Locator: Section 2.4</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it is good practice to administer melatonin just before the desired bedtime</w:t>
      </w:r>
    </w:p>
    <w:p>
      <w:pPr>
        <w:spacing w:after="60" w:before="0"/>
      </w:pPr>
      <w:r>
        <w:rPr>
          <w:rFonts w:ascii="Calibri" w:hAnsi="Calibri"/>
          <w:b w:val="0"/>
          <w:i w:val="0"/>
          <w:color w:val="595959"/>
          <w:sz w:val="16"/>
        </w:rPr>
        <w:t>Locator: Section 2.1</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PMID:18827285 (Arendt et al. 2008)</w:t>
      </w:r>
      <w:r>
        <w:rPr>
          <w:rFonts w:ascii="Calibri" w:hAnsi="Calibri"/>
          <w:b w:val="0"/>
          <w:i w:val="0"/>
          <w:color w:val="142B4A"/>
          <w:sz w:val="20"/>
        </w:rPr>
        <w:t xml:space="preserve">  Melatonin and its agonists: an update</w:t>
      </w:r>
    </w:p>
    <w:p>
      <w:pPr>
        <w:spacing w:after="80" w:before="0"/>
      </w:pPr>
      <w:r>
        <w:rPr>
          <w:rFonts w:ascii="Calibri" w:hAnsi="Calibri"/>
          <w:b w:val="0"/>
          <w:i w:val="0"/>
          <w:color w:val="595959"/>
          <w:sz w:val="16"/>
        </w:rPr>
        <w:t>pub. 2008-10-01  ·  published before the subject's priority date  ·  channel: eligible</w:t>
      </w:r>
    </w:p>
    <w:p>
      <w:pPr>
        <w:spacing w:after="20" w:before="0"/>
      </w:pPr>
      <w:r>
        <w:rPr>
          <w:rFonts w:ascii="Calibri" w:hAnsi="Calibri"/>
          <w:b/>
          <w:i w:val="0"/>
          <w:sz w:val="18"/>
        </w:rPr>
        <w:t>c2.L1.a1  ·  PARTIAL</w:t>
      </w:r>
    </w:p>
    <w:p>
      <w:pPr>
        <w:spacing w:after="20" w:before="0"/>
        <w:ind w:left="280"/>
      </w:pPr>
      <w:r>
        <w:rPr>
          <w:rFonts w:ascii="Calibri" w:hAnsi="Calibri"/>
          <w:b w:val="0"/>
          <w:i/>
          <w:color w:val="142B4A"/>
          <w:sz w:val="18"/>
        </w:rPr>
        <w:t>Melatonin has obvious therapeutic potential and there has</w:t>
        <w:br/>
        <w:t>been some success in treating circadian rhythm sleep disorders</w:t>
        <w:br/>
        <w:t>such as delayed sleep phase syndrome, non-24-h sleep–wake cycle (frequent in people with blindness with no light perception)</w:t>
      </w:r>
    </w:p>
    <w:p>
      <w:pPr>
        <w:spacing w:after="60" w:before="0"/>
      </w:pPr>
      <w:r>
        <w:rPr>
          <w:rFonts w:ascii="Calibri" w:hAnsi="Calibri"/>
          <w:b w:val="0"/>
          <w:i w:val="0"/>
          <w:color w:val="595959"/>
          <w:sz w:val="16"/>
        </w:rPr>
        <w:t>Locator: Exogenous melatonin section</w:t>
      </w:r>
    </w:p>
    <w:p>
      <w:pPr>
        <w:spacing w:after="20" w:before="0"/>
      </w:pPr>
      <w:r>
        <w:rPr>
          <w:rFonts w:ascii="Calibri" w:hAnsi="Calibri"/>
          <w:b/>
          <w:i w:val="0"/>
          <w:sz w:val="18"/>
        </w:rPr>
        <w:t>c3.L1.a1  ·  PARTIAL</w:t>
      </w:r>
    </w:p>
    <w:p>
      <w:pPr>
        <w:spacing w:after="20" w:before="0"/>
        <w:ind w:left="280"/>
      </w:pPr>
      <w:r>
        <w:rPr>
          <w:rFonts w:ascii="Calibri" w:hAnsi="Calibri"/>
          <w:b w:val="0"/>
          <w:i/>
          <w:color w:val="142B4A"/>
          <w:sz w:val="18"/>
        </w:rPr>
        <w:t>Melatonin has obvious therapeutic potential and there has</w:t>
        <w:br/>
        <w:t>been some success in treating circadian rhythm sleep disorders</w:t>
        <w:br/>
        <w:t>such as delayed sleep phase syndrome, non-24-h sleep–wake cycle (frequent in people with blindness with no light perception)</w:t>
      </w:r>
    </w:p>
    <w:p>
      <w:pPr>
        <w:spacing w:after="60" w:before="0"/>
      </w:pPr>
      <w:r>
        <w:rPr>
          <w:rFonts w:ascii="Calibri" w:hAnsi="Calibri"/>
          <w:b w:val="0"/>
          <w:i w:val="0"/>
          <w:color w:val="595959"/>
          <w:sz w:val="16"/>
        </w:rPr>
        <w:t>Locator: Exogenous melatonin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PMID:20945020 (Sukys-Claudino et al. 2010)</w:t>
      </w:r>
      <w:r>
        <w:rPr>
          <w:rFonts w:ascii="Calibri" w:hAnsi="Calibri"/>
          <w:b w:val="0"/>
          <w:i w:val="0"/>
          <w:color w:val="142B4A"/>
          <w:sz w:val="20"/>
        </w:rPr>
        <w:t xml:space="preserve">  Novos sedativos hipnóticos</w:t>
      </w:r>
    </w:p>
    <w:p>
      <w:pPr>
        <w:spacing w:after="80" w:before="0"/>
      </w:pPr>
      <w:r>
        <w:rPr>
          <w:rFonts w:ascii="Calibri" w:hAnsi="Calibri"/>
          <w:b w:val="0"/>
          <w:i w:val="0"/>
          <w:color w:val="595959"/>
          <w:sz w:val="16"/>
        </w:rPr>
        <w:t>pub. 2010-09-01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Tasimelteon é um agente crono-hipnótico em desenvolvimento e, assim como o ramelteon, é um agonista dos receptores MT1 e MT2 e está em fase 3 de investigação</w:t>
      </w:r>
    </w:p>
    <w:p>
      <w:pPr>
        <w:spacing w:after="60" w:before="0"/>
      </w:pPr>
      <w:r>
        <w:rPr>
          <w:rFonts w:ascii="Calibri" w:hAnsi="Calibri"/>
          <w:b w:val="0"/>
          <w:i w:val="0"/>
          <w:color w:val="595959"/>
          <w:sz w:val="16"/>
        </w:rPr>
        <w:t>Locator: Outras moléculas em desenvolvimento - Tasimelteon</w:t>
      </w:r>
    </w:p>
    <w:p>
      <w:pPr>
        <w:spacing w:after="20" w:before="0"/>
      </w:pPr>
      <w:r>
        <w:rPr>
          <w:rFonts w:ascii="Calibri" w:hAnsi="Calibri"/>
          <w:b/>
          <w:i w:val="0"/>
          <w:sz w:val="18"/>
        </w:rPr>
        <w:t>c1.L2.a1  ·  NOT_FOUND</w:t>
      </w:r>
    </w:p>
    <w:p>
      <w:pPr>
        <w:spacing w:after="20" w:before="0"/>
      </w:pPr>
      <w:r>
        <w:rPr>
          <w:rFonts w:ascii="Calibri" w:hAnsi="Calibri"/>
          <w:b/>
          <w:i w:val="0"/>
          <w:color w:val="595959"/>
          <w:sz w:val="17"/>
        </w:rPr>
        <w:t>Analogous teaching (awaiting attorney) for ramelteon</w:t>
      </w:r>
    </w:p>
    <w:p>
      <w:pPr>
        <w:spacing w:after="20" w:before="0"/>
        <w:ind w:left="280"/>
      </w:pPr>
      <w:r>
        <w:rPr>
          <w:rFonts w:ascii="Calibri" w:hAnsi="Calibri"/>
          <w:b w:val="0"/>
          <w:i/>
          <w:color w:val="142B4A"/>
          <w:sz w:val="18"/>
        </w:rPr>
        <w:t>A coadministração de ramelteon com cetoconazol e fluconazol ou indutores tais como rifampicina, carbamazepina ou barbitúricos deve ser evitada</w:t>
      </w:r>
    </w:p>
    <w:p>
      <w:pPr>
        <w:spacing w:after="60" w:before="0"/>
      </w:pPr>
      <w:r>
        <w:rPr>
          <w:rFonts w:ascii="Calibri" w:hAnsi="Calibri"/>
          <w:b w:val="0"/>
          <w:i w:val="0"/>
          <w:color w:val="595959"/>
          <w:sz w:val="16"/>
        </w:rPr>
        <w:t>Locator: Section 3.1 Ramelteon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NCT:NCT01430754 (ClinicalTrials.gov 2011)</w:t>
      </w:r>
      <w:r>
        <w:rPr>
          <w:rFonts w:ascii="Calibri" w:hAnsi="Calibri"/>
          <w:b w:val="0"/>
          <w:i w:val="0"/>
          <w:color w:val="142B4A"/>
          <w:sz w:val="20"/>
        </w:rPr>
        <w:t xml:space="preserve">  Withdrawal Study to Demonstrate the Maintenance Effect in the Treatment of Non-24-Hour Sleep-Wake Disorder</w:t>
      </w:r>
    </w:p>
    <w:p>
      <w:pPr>
        <w:spacing w:after="80" w:before="0"/>
      </w:pPr>
      <w:r>
        <w:rPr>
          <w:rFonts w:ascii="Calibri" w:hAnsi="Calibri"/>
          <w:b w:val="0"/>
          <w:i w:val="0"/>
          <w:color w:val="595959"/>
          <w:sz w:val="16"/>
        </w:rPr>
        <w:t>pub. 2011-09-08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Non-24-Hour Sleep-Wake Disorder (N24HSWD) occurs when individuals are unable to synchronize their endogenous circadian pacemaker to the 24-hour light-dark cycle</w:t>
      </w:r>
    </w:p>
    <w:p>
      <w:pPr>
        <w:spacing w:after="60" w:before="0"/>
      </w:pPr>
      <w:r>
        <w:rPr>
          <w:rFonts w:ascii="Calibri" w:hAnsi="Calibri"/>
          <w:b w:val="0"/>
          <w:i w:val="0"/>
          <w:color w:val="595959"/>
          <w:sz w:val="16"/>
        </w:rPr>
        <w:t>Locator: study description</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to evaluate the maintenance effect and safety of 20 mg tasimelteon versus placebo in subjects suffering from Non-24-Hour Sleep-Wake Disorder.</w:t>
      </w:r>
    </w:p>
    <w:p>
      <w:pPr>
        <w:spacing w:after="60" w:before="0"/>
      </w:pPr>
      <w:r>
        <w:rPr>
          <w:rFonts w:ascii="Calibri" w:hAnsi="Calibri"/>
          <w:b w:val="0"/>
          <w:i w:val="0"/>
          <w:color w:val="595959"/>
          <w:sz w:val="16"/>
        </w:rPr>
        <w:t>Locator: purpose statement</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will be dosed with 20 mg of tasimelteon daily for 6 weeks.</w:t>
      </w:r>
    </w:p>
    <w:p>
      <w:pPr>
        <w:spacing w:after="60" w:before="0"/>
      </w:pPr>
      <w:r>
        <w:rPr>
          <w:rFonts w:ascii="Calibri" w:hAnsi="Calibri"/>
          <w:b w:val="0"/>
          <w:i w:val="0"/>
          <w:color w:val="595959"/>
          <w:sz w:val="16"/>
        </w:rPr>
        <w:t>Locator: run-in phase</w:t>
      </w:r>
    </w:p>
    <w:p>
      <w:pPr>
        <w:spacing w:after="20" w:before="0"/>
      </w:pPr>
      <w:r>
        <w:rPr>
          <w:rFonts w:ascii="Calibri" w:hAnsi="Calibri"/>
          <w:b/>
          <w:i w:val="0"/>
          <w:sz w:val="18"/>
        </w:rPr>
        <w:t>c4.L2.a1  ·  EXPLICIT</w:t>
      </w:r>
    </w:p>
    <w:p>
      <w:pPr>
        <w:spacing w:after="20" w:before="0"/>
        <w:ind w:left="280"/>
      </w:pPr>
      <w:r>
        <w:rPr>
          <w:rFonts w:ascii="Calibri" w:hAnsi="Calibri"/>
          <w:b w:val="0"/>
          <w:i/>
          <w:color w:val="142B4A"/>
          <w:sz w:val="18"/>
        </w:rPr>
        <w:t>20 mg tasimelteon capsules</w:t>
      </w:r>
    </w:p>
    <w:p>
      <w:pPr>
        <w:spacing w:after="60" w:before="0"/>
      </w:pPr>
      <w:r>
        <w:rPr>
          <w:rFonts w:ascii="Calibri" w:hAnsi="Calibri"/>
          <w:b w:val="0"/>
          <w:i w:val="0"/>
          <w:color w:val="595959"/>
          <w:sz w:val="16"/>
        </w:rPr>
        <w:t>Locator: intervention description</w:t>
      </w:r>
    </w:p>
    <w:p>
      <w:pPr>
        <w:spacing w:after="20" w:before="0"/>
      </w:pPr>
      <w:r>
        <w:rPr>
          <w:rFonts w:ascii="Calibri" w:hAnsi="Calibri"/>
          <w:b/>
          <w:i w:val="0"/>
          <w:sz w:val="18"/>
        </w:rPr>
        <w:t>c4.L3.a1  ·  EXPLICIT</w:t>
      </w:r>
    </w:p>
    <w:p>
      <w:pPr>
        <w:spacing w:after="20" w:before="0"/>
        <w:ind w:left="280"/>
      </w:pPr>
      <w:r>
        <w:rPr>
          <w:rFonts w:ascii="Calibri" w:hAnsi="Calibri"/>
          <w:b w:val="0"/>
          <w:i/>
          <w:color w:val="142B4A"/>
          <w:sz w:val="18"/>
        </w:rPr>
        <w:t>20 mg tasimelteon capsules, daily</w:t>
      </w:r>
    </w:p>
    <w:p>
      <w:pPr>
        <w:spacing w:after="60" w:before="0"/>
      </w:pPr>
      <w:r>
        <w:rPr>
          <w:rFonts w:ascii="Calibri" w:hAnsi="Calibri"/>
          <w:b w:val="0"/>
          <w:i w:val="0"/>
          <w:color w:val="595959"/>
          <w:sz w:val="16"/>
        </w:rPr>
        <w:t>Locator: intervention description</w:t>
      </w:r>
    </w:p>
    <w:p>
      <w:pPr>
        <w:spacing w:after="20" w:before="0"/>
      </w:pPr>
      <w:r>
        <w:rPr>
          <w:rFonts w:ascii="Calibri" w:hAnsi="Calibri"/>
          <w:b/>
          <w:i w:val="0"/>
          <w:sz w:val="18"/>
        </w:rPr>
        <w:t>c4.L4.a1  ·  EXPLICIT</w:t>
      </w:r>
    </w:p>
    <w:p>
      <w:pPr>
        <w:spacing w:after="20" w:before="0"/>
        <w:ind w:left="280"/>
      </w:pPr>
      <w:r>
        <w:rPr>
          <w:rFonts w:ascii="Calibri" w:hAnsi="Calibri"/>
          <w:b w:val="0"/>
          <w:i/>
          <w:color w:val="142B4A"/>
          <w:sz w:val="18"/>
        </w:rPr>
        <w:t>either placebo or tasimelteon 20 mg taken approximately 1 hour prior to their target bedtime</w:t>
      </w:r>
    </w:p>
    <w:p>
      <w:pPr>
        <w:spacing w:after="60" w:before="0"/>
      </w:pPr>
      <w:r>
        <w:rPr>
          <w:rFonts w:ascii="Calibri" w:hAnsi="Calibri"/>
          <w:b w:val="0"/>
          <w:i w:val="0"/>
          <w:color w:val="595959"/>
          <w:sz w:val="16"/>
        </w:rPr>
        <w:t>Locator: randomized withdrawal phase</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DOI:10.3109/9781841847665-186 (2010)</w:t>
      </w:r>
      <w:r>
        <w:rPr>
          <w:rFonts w:ascii="Calibri" w:hAnsi="Calibri"/>
          <w:b w:val="0"/>
          <w:i w:val="0"/>
          <w:color w:val="142B4A"/>
          <w:sz w:val="20"/>
        </w:rPr>
        <w:t xml:space="preserve">  RAMELTEON</w:t>
      </w:r>
    </w:p>
    <w:p>
      <w:pPr>
        <w:spacing w:after="80" w:before="0"/>
      </w:pPr>
      <w:r>
        <w:rPr>
          <w:rFonts w:ascii="Calibri" w:hAnsi="Calibri"/>
          <w:b w:val="0"/>
          <w:i w:val="0"/>
          <w:color w:val="595959"/>
          <w:sz w:val="16"/>
        </w:rPr>
        <w:t>pub. 2010-02-15  ·  published before the subject's priority date  ·  channel: eligible</w:t>
      </w:r>
    </w:p>
    <w:p>
      <w:pPr>
        <w:spacing w:after="20" w:before="0"/>
      </w:pPr>
      <w:r>
        <w:rPr>
          <w:rFonts w:ascii="Calibri" w:hAnsi="Calibri"/>
          <w:b/>
          <w:i w:val="0"/>
          <w:sz w:val="18"/>
        </w:rPr>
        <w:t>c1.L2.a1  ·  NOT_FOUND</w:t>
      </w:r>
    </w:p>
    <w:p>
      <w:pPr>
        <w:spacing w:after="20" w:before="0"/>
      </w:pPr>
      <w:r>
        <w:rPr>
          <w:rFonts w:ascii="Calibri" w:hAnsi="Calibri"/>
          <w:b/>
          <w:i w:val="0"/>
          <w:color w:val="595959"/>
          <w:sz w:val="17"/>
        </w:rPr>
        <w:t>Analogous teaching (awaiting attorney) for ramelteon</w:t>
      </w:r>
    </w:p>
    <w:p>
      <w:pPr>
        <w:spacing w:after="20" w:before="0"/>
        <w:ind w:left="280"/>
      </w:pPr>
      <w:r>
        <w:rPr>
          <w:rFonts w:ascii="Calibri" w:hAnsi="Calibri"/>
          <w:b w:val="0"/>
          <w:i/>
          <w:color w:val="142B4A"/>
          <w:sz w:val="18"/>
        </w:rPr>
        <w:t>Trade name: Rozerem (Takeda) Indications: Insomnia Category: Melatonin receptor agonist Half-life: 1-2.6 hours Clinically important, potentially hazardous interactions with: alcohol, fluconazole, fluvoxamine, ketoconazole, rifampin</w:t>
      </w:r>
    </w:p>
    <w:p>
      <w:pPr>
        <w:spacing w:after="60" w:before="0"/>
      </w:pPr>
      <w:r>
        <w:rPr>
          <w:rFonts w:ascii="Calibri" w:hAnsi="Calibri"/>
          <w:b w:val="0"/>
          <w:i w:val="0"/>
          <w:color w:val="595959"/>
          <w:sz w:val="16"/>
        </w:rPr>
        <w:t>Locator: DOI:10.3109/9781841847665-186 (2010)</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PMID:19054552 (Rajaratnam et al. 2009)</w:t>
      </w:r>
      <w:r>
        <w:rPr>
          <w:rFonts w:ascii="Calibri" w:hAnsi="Calibri"/>
          <w:b w:val="0"/>
          <w:i w:val="0"/>
          <w:color w:val="142B4A"/>
          <w:sz w:val="20"/>
        </w:rPr>
        <w:t xml:space="preserve">  Melatonin agonist tasimelteon (VEC-162) for transient insomnia after sleep-time shift: two randomised controlled multicentre trials</w:t>
      </w:r>
    </w:p>
    <w:p>
      <w:pPr>
        <w:spacing w:after="80" w:before="0"/>
      </w:pPr>
      <w:r>
        <w:rPr>
          <w:rFonts w:ascii="Calibri" w:hAnsi="Calibri"/>
          <w:b w:val="0"/>
          <w:i w:val="0"/>
          <w:color w:val="595959"/>
          <w:sz w:val="16"/>
        </w:rPr>
        <w:t>pub. 2008-12-04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Circadian rhythm sleep disorders are common causes of insomnia for millions of individuals.</w:t>
      </w:r>
    </w:p>
    <w:p>
      <w:pPr>
        <w:spacing w:after="60" w:before="0"/>
      </w:pPr>
      <w:r>
        <w:rPr>
          <w:rFonts w:ascii="Calibri" w:hAnsi="Calibri"/>
          <w:b w:val="0"/>
          <w:i w:val="0"/>
          <w:color w:val="595959"/>
          <w:sz w:val="16"/>
        </w:rPr>
        <w:t>Locator: Background</w:t>
      </w:r>
    </w:p>
    <w:p>
      <w:pPr>
        <w:spacing w:after="20" w:before="0"/>
      </w:pPr>
      <w:r>
        <w:rPr>
          <w:rFonts w:ascii="Calibri" w:hAnsi="Calibri"/>
          <w:b/>
          <w:i w:val="0"/>
          <w:sz w:val="18"/>
        </w:rPr>
        <w:t>c4.L1.a1  ·  EXPLICIT</w:t>
      </w:r>
    </w:p>
    <w:p>
      <w:pPr>
        <w:spacing w:after="20" w:before="0"/>
        <w:ind w:left="280"/>
      </w:pPr>
      <w:r>
        <w:rPr>
          <w:rFonts w:ascii="Calibri" w:hAnsi="Calibri"/>
          <w:b w:val="0"/>
          <w:i/>
          <w:color w:val="142B4A"/>
          <w:sz w:val="18"/>
        </w:rPr>
        <w:t>tasimelteon (20 [n=100], 50 [n=102], or 100 mg [n=106]) or placebo (n=103) 30 min before bedtime</w:t>
      </w:r>
    </w:p>
    <w:p>
      <w:pPr>
        <w:spacing w:after="60" w:before="0"/>
      </w:pPr>
      <w:r>
        <w:rPr>
          <w:rFonts w:ascii="Calibri" w:hAnsi="Calibri"/>
          <w:b w:val="0"/>
          <w:i w:val="0"/>
          <w:color w:val="595959"/>
          <w:sz w:val="16"/>
        </w:rPr>
        <w:t>Locator: Methods, phase III</w:t>
      </w:r>
    </w:p>
    <w:p>
      <w:pPr>
        <w:spacing w:after="20" w:before="0"/>
      </w:pPr>
      <w:r>
        <w:rPr>
          <w:rFonts w:ascii="Calibri" w:hAnsi="Calibri"/>
          <w:b/>
          <w:i w:val="0"/>
          <w:sz w:val="18"/>
        </w:rPr>
        <w:t>c4.L2.a1  ·  EXPLICIT</w:t>
      </w:r>
    </w:p>
    <w:p>
      <w:pPr>
        <w:spacing w:after="20" w:before="0"/>
        <w:ind w:left="280"/>
      </w:pPr>
      <w:r>
        <w:rPr>
          <w:rFonts w:ascii="Calibri" w:hAnsi="Calibri"/>
          <w:b w:val="0"/>
          <w:i/>
          <w:color w:val="142B4A"/>
          <w:sz w:val="18"/>
        </w:rPr>
        <w:t>tasimelteon (20 [n=100], 50 [n=102], or 100 mg [n=106]) or placebo (n=103) 30 min before bedtime</w:t>
      </w:r>
    </w:p>
    <w:p>
      <w:pPr>
        <w:spacing w:after="60" w:before="0"/>
      </w:pPr>
      <w:r>
        <w:rPr>
          <w:rFonts w:ascii="Calibri" w:hAnsi="Calibri"/>
          <w:b w:val="0"/>
          <w:i w:val="0"/>
          <w:color w:val="595959"/>
          <w:sz w:val="16"/>
        </w:rPr>
        <w:t>Locator: Methods, phase III</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we measured plasma melatonin concentration for circadian phase assessment</w:t>
      </w:r>
    </w:p>
    <w:p>
      <w:pPr>
        <w:spacing w:after="60" w:before="0"/>
      </w:pPr>
      <w:r>
        <w:rPr>
          <w:rFonts w:ascii="Calibri" w:hAnsi="Calibri"/>
          <w:b w:val="0"/>
          <w:i w:val="0"/>
          <w:color w:val="595959"/>
          <w:sz w:val="16"/>
        </w:rPr>
        <w:t>Locator: Methods</w:t>
      </w:r>
    </w:p>
    <w:p>
      <w:pPr>
        <w:spacing w:after="20" w:before="0"/>
      </w:pPr>
      <w:r>
        <w:rPr>
          <w:rFonts w:ascii="Calibri" w:hAnsi="Calibri"/>
          <w:b/>
          <w:i w:val="0"/>
          <w:sz w:val="18"/>
        </w:rPr>
        <w:t>c4.L4.a1  ·  EXPLICIT</w:t>
      </w:r>
    </w:p>
    <w:p>
      <w:pPr>
        <w:spacing w:after="20" w:before="0"/>
        <w:ind w:left="280"/>
      </w:pPr>
      <w:r>
        <w:rPr>
          <w:rFonts w:ascii="Calibri" w:hAnsi="Calibri"/>
          <w:b w:val="0"/>
          <w:i/>
          <w:color w:val="142B4A"/>
          <w:sz w:val="18"/>
        </w:rPr>
        <w:t>tasimelteon (20 [n=100], 50 [n=102], or 100 mg [n=106]) or placebo (n=103) 30 min before bedtime</w:t>
      </w:r>
    </w:p>
    <w:p>
      <w:pPr>
        <w:spacing w:after="60" w:before="0"/>
      </w:pPr>
      <w:r>
        <w:rPr>
          <w:rFonts w:ascii="Calibri" w:hAnsi="Calibri"/>
          <w:b w:val="0"/>
          <w:i w:val="0"/>
          <w:color w:val="595959"/>
          <w:sz w:val="16"/>
        </w:rPr>
        <w:t>Locator: Methods, phase III</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PMID:18728808 (Neubauer 2008)</w:t>
      </w:r>
      <w:r>
        <w:rPr>
          <w:rFonts w:ascii="Calibri" w:hAnsi="Calibri"/>
          <w:b w:val="0"/>
          <w:i w:val="0"/>
          <w:color w:val="142B4A"/>
          <w:sz w:val="20"/>
        </w:rPr>
        <w:t xml:space="preserve">  A review of ramelteon in the treatment of sleep disorders</w:t>
      </w:r>
    </w:p>
    <w:p>
      <w:pPr>
        <w:spacing w:after="80" w:before="0"/>
      </w:pPr>
      <w:r>
        <w:rPr>
          <w:rFonts w:ascii="Calibri" w:hAnsi="Calibri"/>
          <w:b w:val="0"/>
          <w:i w:val="0"/>
          <w:color w:val="595959"/>
          <w:sz w:val="16"/>
        </w:rPr>
        <w:t>pub. 2008-02-01  ·  published before the subject's priority date  ·  channel: eligible</w:t>
      </w:r>
    </w:p>
    <w:p>
      <w:pPr>
        <w:spacing w:after="20" w:before="0"/>
      </w:pPr>
      <w:r>
        <w:rPr>
          <w:rFonts w:ascii="Calibri" w:hAnsi="Calibri"/>
          <w:b/>
          <w:i w:val="0"/>
          <w:sz w:val="18"/>
        </w:rPr>
        <w:t>c1.L2.a1  ·  NOT_FOUND</w:t>
      </w:r>
    </w:p>
    <w:p>
      <w:pPr>
        <w:spacing w:after="20" w:before="0"/>
      </w:pPr>
      <w:r>
        <w:rPr>
          <w:rFonts w:ascii="Calibri" w:hAnsi="Calibri"/>
          <w:b/>
          <w:i w:val="0"/>
          <w:color w:val="595959"/>
          <w:sz w:val="17"/>
        </w:rPr>
        <w:t>Analogous teaching (awaiting attorney) for ramelteon</w:t>
      </w:r>
    </w:p>
    <w:p>
      <w:pPr>
        <w:spacing w:after="20" w:before="0"/>
        <w:ind w:left="280"/>
      </w:pPr>
      <w:r>
        <w:rPr>
          <w:rFonts w:ascii="Calibri" w:hAnsi="Calibri"/>
          <w:b w:val="0"/>
          <w:i/>
          <w:color w:val="142B4A"/>
          <w:sz w:val="18"/>
        </w:rPr>
        <w:t>The systemic exposure of ramelteon was decreased by rifampin ( ) (potent CYP inducer) and sertraline ( )</w:t>
      </w:r>
    </w:p>
    <w:p>
      <w:pPr>
        <w:spacing w:after="60" w:before="0"/>
      </w:pPr>
      <w:r>
        <w:rPr>
          <w:rFonts w:ascii="Calibri" w:hAnsi="Calibri"/>
          <w:b w:val="0"/>
          <w:i w:val="0"/>
          <w:color w:val="595959"/>
          <w:sz w:val="16"/>
        </w:rPr>
        <w:t>Locator: Pharmacokinetic interaction studies section</w:t>
      </w:r>
    </w:p>
    <w:p>
      <w:pPr>
        <w:spacing w:after="20" w:before="0"/>
      </w:pPr>
      <w:r>
        <w:rPr>
          <w:rFonts w:ascii="Calibri" w:hAnsi="Calibri"/>
          <w:b/>
          <w:i w:val="0"/>
          <w:sz w:val="18"/>
        </w:rPr>
        <w:t>c3.L1.a1  ·  PARTIAL</w:t>
      </w:r>
    </w:p>
    <w:p>
      <w:pPr>
        <w:spacing w:after="20" w:before="0"/>
        <w:ind w:left="280"/>
      </w:pPr>
      <w:r>
        <w:rPr>
          <w:rFonts w:ascii="Calibri" w:hAnsi="Calibri"/>
          <w:b w:val="0"/>
          <w:i/>
          <w:color w:val="142B4A"/>
          <w:sz w:val="18"/>
        </w:rPr>
        <w:t>Ramelteon also might be beneficial for the free-running non-24-hour rhythm blind individuals who are unable to entrain to the natural 24-hour photoperiod.</w:t>
      </w:r>
    </w:p>
    <w:p>
      <w:pPr>
        <w:spacing w:after="60" w:before="0"/>
      </w:pPr>
      <w:r>
        <w:rPr>
          <w:rFonts w:ascii="Calibri" w:hAnsi="Calibri"/>
          <w:b w:val="0"/>
          <w:i w:val="0"/>
          <w:color w:val="595959"/>
          <w:sz w:val="16"/>
        </w:rPr>
        <w:t>Locator: Comments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PMID:20827520 (Srinivasan et al. 2010)</w:t>
      </w:r>
      <w:r>
        <w:rPr>
          <w:rFonts w:ascii="Calibri" w:hAnsi="Calibri"/>
          <w:b w:val="0"/>
          <w:i w:val="0"/>
          <w:color w:val="142B4A"/>
          <w:sz w:val="20"/>
        </w:rPr>
        <w:t xml:space="preserve">  Jet lag, circadian rhythm sleep disturbances, and depression: the role of melatonin and its analogs</w:t>
      </w:r>
    </w:p>
    <w:p>
      <w:pPr>
        <w:spacing w:after="80" w:before="0"/>
      </w:pPr>
      <w:r>
        <w:rPr>
          <w:rFonts w:ascii="Calibri" w:hAnsi="Calibri"/>
          <w:b w:val="0"/>
          <w:i w:val="0"/>
          <w:color w:val="595959"/>
          <w:sz w:val="16"/>
        </w:rPr>
        <w:t>pub. 2010-09-06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Jet lag, circadian rhythm sleep disturbances, and depression: the role of melatonin and its analogs.</w:t>
      </w:r>
    </w:p>
    <w:p>
      <w:pPr>
        <w:spacing w:after="60" w:before="0"/>
      </w:pPr>
      <w:r>
        <w:rPr>
          <w:rFonts w:ascii="Calibri" w:hAnsi="Calibri"/>
          <w:b w:val="0"/>
          <w:i w:val="0"/>
          <w:color w:val="595959"/>
          <w:sz w:val="16"/>
        </w:rPr>
        <w:t>Locator: title</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PMID:19557144 (Hardeland 2009)</w:t>
      </w:r>
      <w:r>
        <w:rPr>
          <w:rFonts w:ascii="Calibri" w:hAnsi="Calibri"/>
          <w:b w:val="0"/>
          <w:i w:val="0"/>
          <w:color w:val="142B4A"/>
          <w:sz w:val="20"/>
        </w:rPr>
        <w:t xml:space="preserve">  New approaches in the management of insomnia: weighing the advantages of prolonged-release melatonin and synthetic melatoninergic agonists</w:t>
      </w:r>
    </w:p>
    <w:p>
      <w:pPr>
        <w:spacing w:after="80" w:before="0"/>
      </w:pPr>
      <w:r>
        <w:rPr>
          <w:rFonts w:ascii="Calibri" w:hAnsi="Calibri"/>
          <w:b w:val="0"/>
          <w:i w:val="0"/>
          <w:color w:val="595959"/>
          <w:sz w:val="16"/>
        </w:rPr>
        <w:t>pub. 2009-12-31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After single oral doses between 10 and 100 mg, mean T max values varied from 1.9 to 3.0 h</w:t>
      </w:r>
    </w:p>
    <w:p>
      <w:pPr>
        <w:spacing w:after="60" w:before="0"/>
      </w:pPr>
      <w:r>
        <w:rPr>
          <w:rFonts w:ascii="Calibri" w:hAnsi="Calibri"/>
          <w:b w:val="0"/>
          <w:i w:val="0"/>
          <w:color w:val="595959"/>
          <w:sz w:val="16"/>
        </w:rPr>
        <w:t>Locator: Tasimelteon section</w:t>
      </w:r>
    </w:p>
    <w:p>
      <w:pPr>
        <w:spacing w:after="20" w:before="0"/>
      </w:pPr>
      <w:r>
        <w:rPr>
          <w:rFonts w:ascii="Calibri" w:hAnsi="Calibri"/>
          <w:b/>
          <w:i w:val="0"/>
          <w:sz w:val="18"/>
        </w:rPr>
        <w:t>c4.L2.a1  ·  PARTIAL</w:t>
      </w:r>
    </w:p>
    <w:p>
      <w:pPr>
        <w:spacing w:after="20" w:before="0"/>
        <w:ind w:left="280"/>
      </w:pPr>
      <w:r>
        <w:rPr>
          <w:rFonts w:ascii="Calibri" w:hAnsi="Calibri"/>
          <w:b w:val="0"/>
          <w:i/>
          <w:color w:val="142B4A"/>
          <w:sz w:val="18"/>
        </w:rPr>
        <w:t>particularly for tasimelteon, which is administered in relatively high doses of 20 or 50 mg</w:t>
      </w:r>
    </w:p>
    <w:p>
      <w:pPr>
        <w:spacing w:after="60" w:before="0"/>
      </w:pPr>
      <w:r>
        <w:rPr>
          <w:rFonts w:ascii="Calibri" w:hAnsi="Calibri"/>
          <w:b w:val="0"/>
          <w:i w:val="0"/>
          <w:color w:val="595959"/>
          <w:sz w:val="16"/>
        </w:rPr>
        <w:t>Locator: Conclusions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DOI:10.13078/jksrs.11007 (Kim 2011)</w:t>
      </w:r>
      <w:r>
        <w:rPr>
          <w:rFonts w:ascii="Calibri" w:hAnsi="Calibri"/>
          <w:b w:val="0"/>
          <w:i w:val="0"/>
          <w:color w:val="142B4A"/>
          <w:sz w:val="20"/>
        </w:rPr>
        <w:t xml:space="preserve">  New Melatonergic Agents</w:t>
      </w:r>
    </w:p>
    <w:p>
      <w:pPr>
        <w:spacing w:after="80" w:before="0"/>
      </w:pPr>
      <w:r>
        <w:rPr>
          <w:rFonts w:ascii="Calibri" w:hAnsi="Calibri"/>
          <w:b w:val="0"/>
          <w:i w:val="0"/>
          <w:color w:val="595959"/>
          <w:sz w:val="16"/>
        </w:rPr>
        <w:t>pub. 2011-12-31  ·  published before the subject's priority date  ·  channel: eligible</w:t>
      </w:r>
    </w:p>
    <w:p>
      <w:pPr>
        <w:spacing w:after="20" w:before="0"/>
      </w:pPr>
      <w:r>
        <w:rPr>
          <w:rFonts w:ascii="Calibri" w:hAnsi="Calibri"/>
          <w:b/>
          <w:i w:val="0"/>
          <w:sz w:val="18"/>
        </w:rPr>
        <w:t>c3.L1.a1  ·  AMBIGUOUS</w:t>
      </w:r>
    </w:p>
    <w:p>
      <w:pPr>
        <w:spacing w:after="20" w:before="0"/>
        <w:ind w:left="280"/>
      </w:pPr>
      <w:r>
        <w:rPr>
          <w:rFonts w:ascii="Calibri" w:hAnsi="Calibri"/>
          <w:b w:val="0"/>
          <w:i/>
          <w:color w:val="142B4A"/>
          <w:sz w:val="18"/>
        </w:rPr>
        <w:t>년월에미국'%"로부터비시간성수면각성 장애를가진전맹환자에서사용할수있는PSQIBOESVH으로 지정되었으며</w:t>
      </w:r>
    </w:p>
    <w:p>
      <w:pPr>
        <w:spacing w:after="60" w:before="0"/>
      </w:pPr>
      <w:r>
        <w:rPr>
          <w:rFonts w:ascii="Calibri" w:hAnsi="Calibri"/>
          <w:b w:val="0"/>
          <w:i w:val="0"/>
          <w:color w:val="595959"/>
          <w:sz w:val="16"/>
        </w:rPr>
        <w:t>Locator: Tasimelteon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PMID:26568125 (Uchiyama et al. 2015)</w:t>
      </w:r>
      <w:r>
        <w:rPr>
          <w:rFonts w:ascii="Calibri" w:hAnsi="Calibri"/>
          <w:b w:val="0"/>
          <w:i w:val="0"/>
          <w:color w:val="142B4A"/>
          <w:sz w:val="20"/>
        </w:rPr>
        <w:t xml:space="preserve">  Non-24-Hour Sleep-Wake Syndrome in Sighted and Blind Patients</w:t>
      </w:r>
    </w:p>
    <w:p>
      <w:pPr>
        <w:spacing w:after="80" w:before="0"/>
      </w:pPr>
      <w:r>
        <w:rPr>
          <w:rFonts w:ascii="Calibri" w:hAnsi="Calibri"/>
          <w:b w:val="0"/>
          <w:i w:val="0"/>
          <w:color w:val="595959"/>
          <w:sz w:val="16"/>
        </w:rPr>
        <w:t>pub. 2009-12-31  ·  published before the subject's priority date  ·  channel: eligible</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Non-24-hour sleep-wake rhythm disorder (N24SWD) is a cyclic debilitating circadian rhythm sleep disorder characterized by an inability to sleep on a 24-hour schedule.</w:t>
      </w:r>
    </w:p>
    <w:p>
      <w:pPr>
        <w:spacing w:after="60" w:before="0"/>
      </w:pPr>
      <w:r>
        <w:rPr>
          <w:rFonts w:ascii="Calibri" w:hAnsi="Calibri"/>
          <w:b w:val="0"/>
          <w:i w:val="0"/>
          <w:color w:val="595959"/>
          <w:sz w:val="16"/>
        </w:rPr>
        <w:t>Locator: Abstract</w:t>
      </w:r>
    </w:p>
    <w:p>
      <w:pPr>
        <w:spacing w:after="20" w:before="0"/>
      </w:pPr>
      <w:r>
        <w:rPr>
          <w:rFonts w:ascii="Calibri" w:hAnsi="Calibri"/>
          <w:b/>
          <w:i w:val="0"/>
          <w:sz w:val="18"/>
        </w:rPr>
        <w:t>c3.L1.a1  ·  EXPLICIT</w:t>
      </w:r>
    </w:p>
    <w:p>
      <w:pPr>
        <w:spacing w:after="20" w:before="0"/>
        <w:ind w:left="280"/>
      </w:pPr>
      <w:r>
        <w:rPr>
          <w:rFonts w:ascii="Calibri" w:hAnsi="Calibri"/>
          <w:b w:val="0"/>
          <w:i/>
          <w:color w:val="142B4A"/>
          <w:sz w:val="18"/>
        </w:rPr>
        <w:t>It is more common in totally blind individuals owing to the lack of light information reaching the circadian pacemaker in the hypothalamus.</w:t>
      </w:r>
    </w:p>
    <w:p>
      <w:pPr>
        <w:spacing w:after="60" w:before="0"/>
      </w:pPr>
      <w:r>
        <w:rPr>
          <w:rFonts w:ascii="Calibri" w:hAnsi="Calibri"/>
          <w:b w:val="0"/>
          <w:i w:val="0"/>
          <w:color w:val="595959"/>
          <w:sz w:val="16"/>
        </w:rPr>
        <w:t>Locator: Abstract</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PMID:18482109 (Lockley et al. 2008)</w:t>
      </w:r>
      <w:r>
        <w:rPr>
          <w:rFonts w:ascii="Calibri" w:hAnsi="Calibri"/>
          <w:b w:val="0"/>
          <w:i w:val="0"/>
          <w:color w:val="142B4A"/>
          <w:sz w:val="20"/>
        </w:rPr>
        <w:t xml:space="preserve">  Alertness, mood and performance rhythm disturbances associated with circadian sleep disorders in the blind</w:t>
      </w:r>
    </w:p>
    <w:p>
      <w:pPr>
        <w:spacing w:after="80" w:before="0"/>
      </w:pPr>
      <w:r>
        <w:rPr>
          <w:rFonts w:ascii="Calibri" w:hAnsi="Calibri"/>
          <w:b w:val="0"/>
          <w:i w:val="0"/>
          <w:color w:val="595959"/>
          <w:sz w:val="16"/>
        </w:rPr>
        <w:t>pub. 2008-12-31  ·  published before the subject's priority date  ·  channel: eligible</w:t>
      </w:r>
    </w:p>
    <w:p>
      <w:pPr>
        <w:spacing w:after="20" w:before="0"/>
      </w:pPr>
      <w:r>
        <w:rPr>
          <w:rFonts w:ascii="Calibri" w:hAnsi="Calibri"/>
          <w:b/>
          <w:i w:val="0"/>
          <w:sz w:val="18"/>
        </w:rPr>
        <w:t>c3.L1.a1  ·  EXPLICIT</w:t>
      </w:r>
    </w:p>
    <w:p>
      <w:pPr>
        <w:spacing w:after="20" w:before="0"/>
        <w:ind w:left="280"/>
      </w:pPr>
      <w:r>
        <w:rPr>
          <w:rFonts w:ascii="Calibri" w:hAnsi="Calibri"/>
          <w:b w:val="0"/>
          <w:i/>
          <w:color w:val="142B4A"/>
          <w:sz w:val="18"/>
        </w:rPr>
        <w:t>The time course of alertness, mood and performance was assessed in 52 blind subjects with and without circadian rhythm disorders</w:t>
      </w:r>
    </w:p>
    <w:p>
      <w:pPr>
        <w:spacing w:after="60" w:before="0"/>
      </w:pPr>
      <w:r>
        <w:rPr>
          <w:rFonts w:ascii="Calibri" w:hAnsi="Calibri"/>
          <w:b w:val="0"/>
          <w:i w:val="0"/>
          <w:color w:val="595959"/>
          <w:sz w:val="16"/>
        </w:rPr>
        <w:t>Locator: Abstract</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PMID:17969867 (Lockley et al. 2007)</w:t>
      </w:r>
      <w:r>
        <w:rPr>
          <w:rFonts w:ascii="Calibri" w:hAnsi="Calibri"/>
          <w:b w:val="0"/>
          <w:i w:val="0"/>
          <w:color w:val="142B4A"/>
          <w:sz w:val="20"/>
        </w:rPr>
        <w:t xml:space="preserve">  Visual impairment and circadian rhythm disorders.</w:t>
      </w:r>
    </w:p>
    <w:p>
      <w:pPr>
        <w:spacing w:after="80" w:before="0"/>
      </w:pPr>
      <w:r>
        <w:rPr>
          <w:rFonts w:ascii="Calibri" w:hAnsi="Calibri"/>
          <w:b w:val="0"/>
          <w:i w:val="0"/>
          <w:color w:val="595959"/>
          <w:sz w:val="16"/>
        </w:rPr>
        <w:t>pub. 2007-12-31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Melatonin administration has also been explored for treatment of abnormal entrained phase disorders in the blind, as well as sighted populations</w:t>
      </w:r>
    </w:p>
    <w:p>
      <w:pPr>
        <w:spacing w:after="60" w:before="0"/>
      </w:pPr>
      <w:r>
        <w:rPr>
          <w:rFonts w:ascii="Calibri" w:hAnsi="Calibri"/>
          <w:b w:val="0"/>
          <w:i w:val="0"/>
          <w:color w:val="595959"/>
          <w:sz w:val="16"/>
        </w:rPr>
        <w:t>Locator: Treatment section</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The cyclic sleep-wake pattern, formally termed “non-24-hour sleepwake disorder,” persists ad Infinitum and can be extremely disruptive and debilitating</w:t>
      </w:r>
    </w:p>
    <w:p>
      <w:pPr>
        <w:spacing w:after="60" w:before="0"/>
      </w:pPr>
      <w:r>
        <w:rPr>
          <w:rFonts w:ascii="Calibri" w:hAnsi="Calibri"/>
          <w:b w:val="0"/>
          <w:i w:val="0"/>
          <w:color w:val="595959"/>
          <w:sz w:val="16"/>
        </w:rPr>
        <w:t>Locator: Circadian rhythm disorders in the blind</w:t>
      </w:r>
    </w:p>
    <w:p>
      <w:pPr>
        <w:spacing w:after="20" w:before="0"/>
      </w:pPr>
      <w:r>
        <w:rPr>
          <w:rFonts w:ascii="Calibri" w:hAnsi="Calibri"/>
          <w:b/>
          <w:i w:val="0"/>
          <w:sz w:val="18"/>
        </w:rPr>
        <w:t>c3.L1.a1  ·  EXPLICIT</w:t>
      </w:r>
    </w:p>
    <w:p>
      <w:pPr>
        <w:spacing w:after="20" w:before="0"/>
        <w:ind w:left="280"/>
      </w:pPr>
      <w:r>
        <w:rPr>
          <w:rFonts w:ascii="Calibri" w:hAnsi="Calibri"/>
          <w:b w:val="0"/>
          <w:i/>
          <w:color w:val="142B4A"/>
          <w:sz w:val="18"/>
        </w:rPr>
        <w:t>Blind people with NPL who complain of sleep disorders, particularly episodic or cyclic insomnia and daytime sleepiness, should be studied longitudinally to confirm a circadian disorder diagnosis</w:t>
      </w:r>
    </w:p>
    <w:p>
      <w:pPr>
        <w:spacing w:after="60" w:before="0"/>
      </w:pPr>
      <w:r>
        <w:rPr>
          <w:rFonts w:ascii="Calibri" w:hAnsi="Calibri"/>
          <w:b w:val="0"/>
          <w:i w:val="0"/>
          <w:color w:val="595959"/>
          <w:sz w:val="16"/>
        </w:rPr>
        <w:t>Locator: Conclusion</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Five subjects received 5 mg melatonin PO or placebo at 21:00 h each for a full circadian beat cycle</w:t>
      </w:r>
    </w:p>
    <w:p>
      <w:pPr>
        <w:spacing w:after="60" w:before="0"/>
      </w:pPr>
      <w:r>
        <w:rPr>
          <w:rFonts w:ascii="Calibri" w:hAnsi="Calibri"/>
          <w:b w:val="0"/>
          <w:i w:val="0"/>
          <w:color w:val="595959"/>
          <w:sz w:val="16"/>
        </w:rPr>
        <w:t>Locator: Treatment of circadian rhythm disorders in the blind</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daily melatonin treatment is a lifelong requirement, as once treatment is stopped, the circadian pacemaker will revert to its endogenous period or phase angle</w:t>
      </w:r>
    </w:p>
    <w:p>
      <w:pPr>
        <w:spacing w:after="60" w:before="0"/>
      </w:pPr>
      <w:r>
        <w:rPr>
          <w:rFonts w:ascii="Calibri" w:hAnsi="Calibri"/>
          <w:b w:val="0"/>
          <w:i w:val="0"/>
          <w:color w:val="595959"/>
          <w:sz w:val="16"/>
        </w:rPr>
        <w:t>Locator: Conclusion</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Given melatonin's soporific properties, treatment should also be given close to the desired bedtime to ensure the alignment of the circadian and social day.</w:t>
      </w:r>
    </w:p>
    <w:p>
      <w:pPr>
        <w:spacing w:after="60" w:before="0"/>
      </w:pPr>
      <w:r>
        <w:rPr>
          <w:rFonts w:ascii="Calibri" w:hAnsi="Calibri"/>
          <w:b w:val="0"/>
          <w:i w:val="0"/>
          <w:color w:val="595959"/>
          <w:sz w:val="16"/>
        </w:rPr>
        <w:t>Locator: Treatment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PMID:18041479 (Morgenthaler et al. 2007)</w:t>
      </w:r>
      <w:r>
        <w:rPr>
          <w:rFonts w:ascii="Calibri" w:hAnsi="Calibri"/>
          <w:b w:val="0"/>
          <w:i w:val="0"/>
          <w:color w:val="142B4A"/>
          <w:sz w:val="20"/>
        </w:rPr>
        <w:t xml:space="preserve">  Practice parameters for the clinical evaluation and treatment of circadian rhythm sleep disorders. An American Academy of Sleep Medicine report</w:t>
      </w:r>
    </w:p>
    <w:p>
      <w:pPr>
        <w:spacing w:after="80" w:before="0"/>
      </w:pPr>
      <w:r>
        <w:rPr>
          <w:rFonts w:ascii="Calibri" w:hAnsi="Calibri"/>
          <w:b w:val="0"/>
          <w:i w:val="0"/>
          <w:color w:val="595959"/>
          <w:sz w:val="16"/>
        </w:rPr>
        <w:t>pub. 2007-12-31  ·  published before the subject's priority date  ·  channel: eligible</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the non-24-hour sleep-wake syndrome (nonentrained type) or free-running disorder (FRD)</w:t>
      </w:r>
    </w:p>
    <w:p>
      <w:pPr>
        <w:spacing w:after="60" w:before="0"/>
      </w:pPr>
      <w:r>
        <w:rPr>
          <w:rFonts w:ascii="Calibri" w:hAnsi="Calibri"/>
          <w:b w:val="0"/>
          <w:i w:val="0"/>
          <w:color w:val="595959"/>
          <w:sz w:val="16"/>
        </w:rPr>
        <w:t>Locator: abstract</w:t>
      </w:r>
    </w:p>
    <w:p>
      <w:pPr>
        <w:spacing w:after="20" w:before="0"/>
      </w:pPr>
      <w:r>
        <w:rPr>
          <w:rFonts w:ascii="Calibri" w:hAnsi="Calibri"/>
          <w:b/>
          <w:i w:val="0"/>
          <w:sz w:val="18"/>
        </w:rPr>
        <w:t>c3.L1.a1  ·  PARTIAL</w:t>
      </w:r>
    </w:p>
    <w:p>
      <w:pPr>
        <w:spacing w:after="20" w:before="0"/>
        <w:ind w:left="280"/>
      </w:pPr>
      <w:r>
        <w:rPr>
          <w:rFonts w:ascii="Calibri" w:hAnsi="Calibri"/>
          <w:b w:val="0"/>
          <w:i/>
          <w:color w:val="142B4A"/>
          <w:sz w:val="18"/>
        </w:rPr>
        <w:t>Circadian phase markers are useful to determine circadian phase and confirm the diagnosis of FRD in sighted and unsighted patients</w:t>
      </w:r>
    </w:p>
    <w:p>
      <w:pPr>
        <w:spacing w:after="60" w:before="0"/>
      </w:pPr>
      <w:r>
        <w:rPr>
          <w:rFonts w:ascii="Calibri" w:hAnsi="Calibri"/>
          <w:b w:val="0"/>
          <w:i w:val="0"/>
          <w:color w:val="595959"/>
          <w:sz w:val="16"/>
        </w:rPr>
        <w:t>Locator: abstract</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PMID:12530986 (Sack et al. 2001)</w:t>
      </w:r>
      <w:r>
        <w:rPr>
          <w:rFonts w:ascii="Calibri" w:hAnsi="Calibri"/>
          <w:b w:val="0"/>
          <w:i w:val="0"/>
          <w:color w:val="142B4A"/>
          <w:sz w:val="20"/>
        </w:rPr>
        <w:t xml:space="preserve">  Circadian rhythm sleep disorders: lessons from the blind</w:t>
      </w:r>
    </w:p>
    <w:p>
      <w:pPr>
        <w:spacing w:after="80" w:before="0"/>
      </w:pPr>
      <w:r>
        <w:rPr>
          <w:rFonts w:ascii="Calibri" w:hAnsi="Calibri"/>
          <w:b w:val="0"/>
          <w:i w:val="0"/>
          <w:color w:val="595959"/>
          <w:sz w:val="16"/>
        </w:rPr>
        <w:t>pub. 2001-12-31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Circadian rhythm sleep disorders: lessons from the blind.</w:t>
      </w:r>
    </w:p>
    <w:p>
      <w:pPr>
        <w:spacing w:after="60" w:before="0"/>
      </w:pPr>
      <w:r>
        <w:rPr>
          <w:rFonts w:ascii="Calibri" w:hAnsi="Calibri"/>
          <w:b w:val="0"/>
          <w:i w:val="0"/>
          <w:color w:val="595959"/>
          <w:sz w:val="16"/>
        </w:rPr>
        <w:t>Locator: title</w:t>
      </w:r>
    </w:p>
    <w:p>
      <w:pPr>
        <w:spacing w:after="20" w:before="0"/>
      </w:pPr>
      <w:r>
        <w:rPr>
          <w:rFonts w:ascii="Calibri" w:hAnsi="Calibri"/>
          <w:b/>
          <w:i w:val="0"/>
          <w:sz w:val="18"/>
        </w:rPr>
        <w:t>c2.L1.a1  ·  PARTIAL</w:t>
      </w:r>
    </w:p>
    <w:p>
      <w:pPr>
        <w:spacing w:after="20" w:before="0"/>
        <w:ind w:left="280"/>
      </w:pPr>
      <w:r>
        <w:rPr>
          <w:rFonts w:ascii="Calibri" w:hAnsi="Calibri"/>
          <w:b w:val="0"/>
          <w:i/>
          <w:color w:val="142B4A"/>
          <w:sz w:val="18"/>
        </w:rPr>
        <w:t>their circadian rhythms often "free run" on a cycle slightly longer than 24 h.</w:t>
      </w:r>
    </w:p>
    <w:p>
      <w:pPr>
        <w:spacing w:after="60" w:before="0"/>
      </w:pPr>
      <w:r>
        <w:rPr>
          <w:rFonts w:ascii="Calibri" w:hAnsi="Calibri"/>
          <w:b w:val="0"/>
          <w:i w:val="0"/>
          <w:color w:val="595959"/>
          <w:sz w:val="16"/>
        </w:rPr>
        <w:t>Locator: abstract</w:t>
      </w:r>
    </w:p>
    <w:p>
      <w:pPr>
        <w:spacing w:after="20" w:before="0"/>
      </w:pPr>
      <w:r>
        <w:rPr>
          <w:rFonts w:ascii="Calibri" w:hAnsi="Calibri"/>
          <w:b/>
          <w:i w:val="0"/>
          <w:sz w:val="18"/>
        </w:rPr>
        <w:t>c3.L1.a1  ·  EXPLICIT</w:t>
      </w:r>
    </w:p>
    <w:p>
      <w:pPr>
        <w:spacing w:after="20" w:before="0"/>
        <w:ind w:left="280"/>
      </w:pPr>
      <w:r>
        <w:rPr>
          <w:rFonts w:ascii="Calibri" w:hAnsi="Calibri"/>
          <w:b w:val="0"/>
          <w:i/>
          <w:color w:val="142B4A"/>
          <w:sz w:val="18"/>
        </w:rPr>
        <w:t>As totally blind people cannot perceive the light-dark cycle (the major synchroniser of the circadian pacemaker) their circadian rhythms often "free run" on a cycle slightly longer than 24 h.</w:t>
      </w:r>
    </w:p>
    <w:p>
      <w:pPr>
        <w:spacing w:after="60" w:before="0"/>
      </w:pPr>
      <w:r>
        <w:rPr>
          <w:rFonts w:ascii="Calibri" w:hAnsi="Calibri"/>
          <w:b w:val="0"/>
          <w:i w:val="0"/>
          <w:color w:val="595959"/>
          <w:sz w:val="16"/>
        </w:rPr>
        <w:t>Locator: abstract</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daily melatonin administration can entrain the circadian pacemaker</w:t>
      </w:r>
    </w:p>
    <w:p>
      <w:pPr>
        <w:spacing w:after="60" w:before="0"/>
      </w:pPr>
      <w:r>
        <w:rPr>
          <w:rFonts w:ascii="Calibri" w:hAnsi="Calibri"/>
          <w:b w:val="0"/>
          <w:i w:val="0"/>
          <w:color w:val="595959"/>
          <w:sz w:val="16"/>
        </w:rPr>
        <w:t>Locator: abstract</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PMID:18041481 (Sack et al. 2007)</w:t>
      </w:r>
      <w:r>
        <w:rPr>
          <w:rFonts w:ascii="Calibri" w:hAnsi="Calibri"/>
          <w:b w:val="0"/>
          <w:i w:val="0"/>
          <w:color w:val="142B4A"/>
          <w:sz w:val="20"/>
        </w:rPr>
        <w:t xml:space="preserve">  Circadian rhythm sleep disorders: part II, advanced sleep phase disorder, delayed sleep phase disorder, free-running disorder, and irregular sleep-wake rhythm</w:t>
      </w:r>
    </w:p>
    <w:p>
      <w:pPr>
        <w:spacing w:after="80" w:before="0"/>
      </w:pPr>
      <w:r>
        <w:rPr>
          <w:rFonts w:ascii="Calibri" w:hAnsi="Calibri"/>
          <w:b w:val="0"/>
          <w:i w:val="0"/>
          <w:color w:val="595959"/>
          <w:sz w:val="16"/>
        </w:rPr>
        <w:t>pub. 2007-12-31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Advamced Sleep Phase Disorder (ASPD), Delayed Sleep Phase Disorder (DSPD), Free-Running Disorder (FRD) and Irregular Sleep-Wake Rhythm ISWR).</w:t>
      </w:r>
    </w:p>
    <w:p>
      <w:pPr>
        <w:spacing w:after="60" w:before="0"/>
      </w:pPr>
      <w:r>
        <w:rPr>
          <w:rFonts w:ascii="Calibri" w:hAnsi="Calibri"/>
          <w:b w:val="0"/>
          <w:i w:val="0"/>
          <w:color w:val="595959"/>
          <w:sz w:val="16"/>
        </w:rPr>
        <w:t>Locator: Objective</w:t>
      </w:r>
    </w:p>
    <w:p>
      <w:pPr>
        <w:spacing w:after="20" w:before="0"/>
      </w:pPr>
      <w:r>
        <w:rPr>
          <w:rFonts w:ascii="Calibri" w:hAnsi="Calibri"/>
          <w:b/>
          <w:i w:val="0"/>
          <w:sz w:val="18"/>
        </w:rPr>
        <w:t>c2.L1.a1  ·  PARTIAL</w:t>
      </w:r>
    </w:p>
    <w:p>
      <w:pPr>
        <w:spacing w:after="20" w:before="0"/>
        <w:ind w:left="280"/>
      </w:pPr>
      <w:r>
        <w:rPr>
          <w:rFonts w:ascii="Calibri" w:hAnsi="Calibri"/>
          <w:b w:val="0"/>
          <w:i/>
          <w:color w:val="142B4A"/>
          <w:sz w:val="18"/>
        </w:rPr>
        <w:t>Free-Running Disorder (FRD)</w:t>
      </w:r>
    </w:p>
    <w:p>
      <w:pPr>
        <w:spacing w:after="60" w:before="0"/>
      </w:pPr>
      <w:r>
        <w:rPr>
          <w:rFonts w:ascii="Calibri" w:hAnsi="Calibri"/>
          <w:b w:val="0"/>
          <w:i w:val="0"/>
          <w:color w:val="595959"/>
          <w:sz w:val="16"/>
        </w:rPr>
        <w:t>Locator: Objective</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PMID:17420154 (Skene et al. 2007)</w:t>
      </w:r>
      <w:r>
        <w:rPr>
          <w:rFonts w:ascii="Calibri" w:hAnsi="Calibri"/>
          <w:b w:val="0"/>
          <w:i w:val="0"/>
          <w:color w:val="142B4A"/>
          <w:sz w:val="20"/>
        </w:rPr>
        <w:t xml:space="preserve">  Circadian rhythm sleep disorders in the blind and their treatment with melatonin</w:t>
      </w:r>
    </w:p>
    <w:p>
      <w:pPr>
        <w:spacing w:after="80" w:before="0"/>
      </w:pPr>
      <w:r>
        <w:rPr>
          <w:rFonts w:ascii="Calibri" w:hAnsi="Calibri"/>
          <w:b w:val="0"/>
          <w:i w:val="0"/>
          <w:color w:val="595959"/>
          <w:sz w:val="16"/>
        </w:rPr>
        <w:t>pub. 2007-12-31  ·  published before the subject's priority date  ·  channel: eligible</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This is a lifelong condition. Daily administration of exogenous melatonin is the current treatment of choice for this so-called "non-24h sleep/wake disorder".</w:t>
      </w:r>
    </w:p>
    <w:p>
      <w:pPr>
        <w:spacing w:after="60" w:before="0"/>
      </w:pPr>
      <w:r>
        <w:rPr>
          <w:rFonts w:ascii="Calibri" w:hAnsi="Calibri"/>
          <w:b w:val="0"/>
          <w:i w:val="0"/>
          <w:color w:val="595959"/>
          <w:sz w:val="16"/>
        </w:rPr>
        <w:t>Locator: abstract</w:t>
      </w:r>
    </w:p>
    <w:p>
      <w:pPr>
        <w:spacing w:after="20" w:before="0"/>
      </w:pPr>
      <w:r>
        <w:rPr>
          <w:rFonts w:ascii="Calibri" w:hAnsi="Calibri"/>
          <w:b/>
          <w:i w:val="0"/>
          <w:sz w:val="18"/>
        </w:rPr>
        <w:t>c3.L1.a1  ·  EXPLICIT</w:t>
      </w:r>
    </w:p>
    <w:p>
      <w:pPr>
        <w:spacing w:after="20" w:before="0"/>
        <w:ind w:left="280"/>
      </w:pPr>
      <w:r>
        <w:rPr>
          <w:rFonts w:ascii="Calibri" w:hAnsi="Calibri"/>
          <w:b w:val="0"/>
          <w:i/>
          <w:color w:val="142B4A"/>
          <w:sz w:val="18"/>
        </w:rPr>
        <w:t>People who are blind, in addition to having to cope with partial or no sight, have an added handicap; the transmission of ocular light from the retina to their circadian clock is impaired.</w:t>
      </w:r>
    </w:p>
    <w:p>
      <w:pPr>
        <w:spacing w:after="60" w:before="0"/>
      </w:pPr>
      <w:r>
        <w:rPr>
          <w:rFonts w:ascii="Calibri" w:hAnsi="Calibri"/>
          <w:b w:val="0"/>
          <w:i w:val="0"/>
          <w:color w:val="595959"/>
          <w:sz w:val="16"/>
        </w:rPr>
        <w:t>Locator: abstract</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Daily administration of exogenous melatonin is the current treatment of choice</w:t>
      </w:r>
    </w:p>
    <w:p>
      <w:pPr>
        <w:spacing w:after="60" w:before="0"/>
      </w:pPr>
      <w:r>
        <w:rPr>
          <w:rFonts w:ascii="Calibri" w:hAnsi="Calibri"/>
          <w:b w:val="0"/>
          <w:i w:val="0"/>
          <w:color w:val="595959"/>
          <w:sz w:val="16"/>
        </w:rPr>
        <w:t>Locator: abstract</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PMID:12882588 (Niemi et al. 2003)</w:t>
      </w:r>
      <w:r>
        <w:rPr>
          <w:rFonts w:ascii="Calibri" w:hAnsi="Calibri"/>
          <w:b w:val="0"/>
          <w:i w:val="0"/>
          <w:color w:val="142B4A"/>
          <w:sz w:val="20"/>
        </w:rPr>
        <w:t xml:space="preserve">  Pharmacokinetic interactions with rifampicin : clinical relevance</w:t>
      </w:r>
    </w:p>
    <w:p>
      <w:pPr>
        <w:spacing w:after="80" w:before="0"/>
      </w:pPr>
      <w:r>
        <w:rPr>
          <w:rFonts w:ascii="Calibri" w:hAnsi="Calibri"/>
          <w:b w:val="0"/>
          <w:i w:val="0"/>
          <w:color w:val="595959"/>
          <w:sz w:val="16"/>
        </w:rPr>
        <w:t>pub. 2003-01-01  ·  published before the subject's priority date  ·  channel: eligible</w:t>
      </w:r>
    </w:p>
    <w:p>
      <w:pPr>
        <w:spacing w:after="20" w:before="0"/>
      </w:pPr>
      <w:r>
        <w:rPr>
          <w:rFonts w:ascii="Calibri" w:hAnsi="Calibri"/>
          <w:b/>
          <w:i w:val="0"/>
          <w:sz w:val="18"/>
        </w:rPr>
        <w:t>c1.L1.a2  ·  FUNCTIONAL_INFERENCE</w:t>
      </w:r>
    </w:p>
    <w:p>
      <w:pPr>
        <w:spacing w:after="20" w:before="0"/>
        <w:ind w:left="280"/>
      </w:pPr>
      <w:r>
        <w:rPr>
          <w:rFonts w:ascii="Calibri" w:hAnsi="Calibri"/>
          <w:b w:val="0"/>
          <w:i/>
          <w:color w:val="142B4A"/>
          <w:sz w:val="18"/>
        </w:rPr>
        <w:t>Potential drug interactions should be considered whenever beginning or discontinuing rifampicin treatment.</w:t>
      </w:r>
    </w:p>
    <w:p>
      <w:pPr>
        <w:spacing w:after="60" w:before="0"/>
      </w:pPr>
      <w:r>
        <w:rPr>
          <w:rFonts w:ascii="Calibri" w:hAnsi="Calibri"/>
          <w:b w:val="0"/>
          <w:i w:val="0"/>
          <w:color w:val="595959"/>
          <w:sz w:val="16"/>
        </w:rPr>
        <w:t>Locator: abstract body</w:t>
      </w:r>
    </w:p>
    <w:p>
      <w:pPr>
        <w:spacing w:after="20" w:before="0"/>
      </w:pPr>
      <w:r>
        <w:rPr>
          <w:rFonts w:ascii="Calibri" w:hAnsi="Calibri"/>
          <w:b/>
          <w:i w:val="0"/>
          <w:sz w:val="18"/>
        </w:rPr>
        <w:t>c1.L2.a1  ·  FUNCTIONAL_INFERENCE</w:t>
      </w:r>
    </w:p>
    <w:p>
      <w:pPr>
        <w:spacing w:after="20" w:before="0"/>
        <w:ind w:left="280"/>
      </w:pPr>
      <w:r>
        <w:rPr>
          <w:rFonts w:ascii="Calibri" w:hAnsi="Calibri"/>
          <w:b w:val="0"/>
          <w:i/>
          <w:color w:val="142B4A"/>
          <w:sz w:val="18"/>
        </w:rPr>
        <w:t>Rifampicin has its greatest effects on the pharmacokinetics of orally administered drugs that are metabolised by CYP3A4 and/or are transported by P-glycoprotein.</w:t>
      </w:r>
    </w:p>
    <w:p>
      <w:pPr>
        <w:spacing w:after="60" w:before="0"/>
      </w:pPr>
      <w:r>
        <w:rPr>
          <w:rFonts w:ascii="Calibri" w:hAnsi="Calibri"/>
          <w:b w:val="0"/>
          <w:i w:val="0"/>
          <w:color w:val="595959"/>
          <w:sz w:val="16"/>
        </w:rPr>
        <w:t>Locator: abstract body</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NCT:NCT01163032 (ClinicalTrials.gov 2010)</w:t>
      </w:r>
      <w:r>
        <w:rPr>
          <w:rFonts w:ascii="Calibri" w:hAnsi="Calibri"/>
          <w:b w:val="0"/>
          <w:i w:val="0"/>
          <w:color w:val="142B4A"/>
          <w:sz w:val="20"/>
        </w:rPr>
        <w:t xml:space="preserve">  Efficacy and Safety of Tasimelteon Compared With Placebo in Totally Blind Subjects With Non-24-Hour Sleep-Wake Disorder</w:t>
      </w:r>
    </w:p>
    <w:p>
      <w:pPr>
        <w:spacing w:after="80" w:before="0"/>
      </w:pPr>
      <w:r>
        <w:rPr>
          <w:rFonts w:ascii="Calibri" w:hAnsi="Calibri"/>
          <w:b w:val="0"/>
          <w:i w:val="0"/>
          <w:color w:val="595959"/>
          <w:sz w:val="16"/>
        </w:rPr>
        <w:t>pub. 2010-07-15  ·  published before the subject's priority date  ·  channel: eligible</w:t>
      </w:r>
    </w:p>
    <w:p>
      <w:pPr>
        <w:spacing w:after="20" w:before="0"/>
      </w:pPr>
      <w:r>
        <w:rPr>
          <w:rFonts w:ascii="Calibri" w:hAnsi="Calibri"/>
          <w:b/>
          <w:i w:val="0"/>
          <w:sz w:val="18"/>
        </w:rPr>
        <w:t>c1.L1.a1  ·  FUNCTIONAL_INFERENCE</w:t>
      </w:r>
    </w:p>
    <w:p>
      <w:pPr>
        <w:spacing w:after="20" w:before="0"/>
        <w:ind w:left="280"/>
      </w:pPr>
      <w:r>
        <w:rPr>
          <w:rFonts w:ascii="Calibri" w:hAnsi="Calibri"/>
          <w:b w:val="0"/>
          <w:i/>
          <w:color w:val="142B4A"/>
          <w:sz w:val="18"/>
        </w:rPr>
        <w:t>to investigate the efficacy and safety of a six month double-mask treatment of tasimelteon or placebo in male and female subjects with Non-24-Hour Sleep-Wake Disorder</w:t>
      </w:r>
    </w:p>
    <w:p>
      <w:pPr>
        <w:spacing w:after="60" w:before="0"/>
      </w:pPr>
      <w:r>
        <w:rPr>
          <w:rFonts w:ascii="Calibri" w:hAnsi="Calibri"/>
          <w:b w:val="0"/>
          <w:i w:val="0"/>
          <w:color w:val="595959"/>
          <w:sz w:val="16"/>
        </w:rPr>
        <w:t>Locator: Title/Purpose</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to investigate the efficacy and safety of a six month double-mask treatment of tasimelteon or placebo in male and female subjects with Non-24-Hour Sleep-Wake Disorder</w:t>
      </w:r>
    </w:p>
    <w:p>
      <w:pPr>
        <w:spacing w:after="60" w:before="0"/>
      </w:pPr>
      <w:r>
        <w:rPr>
          <w:rFonts w:ascii="Calibri" w:hAnsi="Calibri"/>
          <w:b w:val="0"/>
          <w:i w:val="0"/>
          <w:color w:val="595959"/>
          <w:sz w:val="16"/>
        </w:rPr>
        <w:t>Locator: Purpose</w:t>
      </w:r>
    </w:p>
    <w:p>
      <w:pPr>
        <w:spacing w:after="20" w:before="0"/>
      </w:pPr>
      <w:r>
        <w:rPr>
          <w:rFonts w:ascii="Calibri" w:hAnsi="Calibri"/>
          <w:b/>
          <w:i w:val="0"/>
          <w:sz w:val="18"/>
        </w:rPr>
        <w:t>c3.L1.a1  ·  EXPLICIT</w:t>
      </w:r>
    </w:p>
    <w:p>
      <w:pPr>
        <w:spacing w:after="20" w:before="0"/>
        <w:ind w:left="280"/>
      </w:pPr>
      <w:r>
        <w:rPr>
          <w:rFonts w:ascii="Calibri" w:hAnsi="Calibri"/>
          <w:b w:val="0"/>
          <w:i/>
          <w:color w:val="142B4A"/>
          <w:sz w:val="18"/>
        </w:rPr>
        <w:t>Totally Blind Subjects With N24HSWD</w:t>
      </w:r>
    </w:p>
    <w:p>
      <w:pPr>
        <w:spacing w:after="60" w:before="0"/>
      </w:pPr>
      <w:r>
        <w:rPr>
          <w:rFonts w:ascii="Calibri" w:hAnsi="Calibri"/>
          <w:b w:val="0"/>
          <w:i w:val="0"/>
          <w:color w:val="595959"/>
          <w:sz w:val="16"/>
        </w:rPr>
        <w:t>Locator: Title</w:t>
      </w:r>
    </w:p>
    <w:p>
      <w:pPr>
        <w:spacing w:after="20" w:before="0"/>
      </w:pPr>
      <w:r>
        <w:rPr>
          <w:rFonts w:ascii="Calibri" w:hAnsi="Calibri"/>
          <w:b/>
          <w:i w:val="0"/>
          <w:sz w:val="18"/>
        </w:rPr>
        <w:t>c4.L1.a1  ·  EXPLICIT</w:t>
      </w:r>
    </w:p>
    <w:p>
      <w:pPr>
        <w:spacing w:after="20" w:before="0"/>
        <w:ind w:left="280"/>
      </w:pPr>
      <w:r>
        <w:rPr>
          <w:rFonts w:ascii="Calibri" w:hAnsi="Calibri"/>
          <w:b w:val="0"/>
          <w:i/>
          <w:color w:val="142B4A"/>
          <w:sz w:val="18"/>
        </w:rPr>
        <w:t>subjects will be asked to take either 20 mg tasimelteon or placebo approximately 1 hour prior to their target bedtime</w:t>
      </w:r>
    </w:p>
    <w:p>
      <w:pPr>
        <w:spacing w:after="60" w:before="0"/>
      </w:pPr>
      <w:r>
        <w:rPr>
          <w:rFonts w:ascii="Calibri" w:hAnsi="Calibri"/>
          <w:b w:val="0"/>
          <w:i w:val="0"/>
          <w:color w:val="595959"/>
          <w:sz w:val="16"/>
        </w:rPr>
        <w:t>Locator: Randomization phase description</w:t>
      </w:r>
    </w:p>
    <w:p>
      <w:pPr>
        <w:spacing w:after="20" w:before="0"/>
      </w:pPr>
      <w:r>
        <w:rPr>
          <w:rFonts w:ascii="Calibri" w:hAnsi="Calibri"/>
          <w:b/>
          <w:i w:val="0"/>
          <w:sz w:val="18"/>
        </w:rPr>
        <w:t>c4.L2.a1  ·  EXPLICIT</w:t>
      </w:r>
    </w:p>
    <w:p>
      <w:pPr>
        <w:spacing w:after="20" w:before="0"/>
        <w:ind w:left="280"/>
      </w:pPr>
      <w:r>
        <w:rPr>
          <w:rFonts w:ascii="Calibri" w:hAnsi="Calibri"/>
          <w:b w:val="0"/>
          <w:i/>
          <w:color w:val="142B4A"/>
          <w:sz w:val="18"/>
        </w:rPr>
        <w:t>20 mg tasimelteon capsules, PO daily for 6 months</w:t>
      </w:r>
    </w:p>
    <w:p>
      <w:pPr>
        <w:spacing w:after="60" w:before="0"/>
      </w:pPr>
      <w:r>
        <w:rPr>
          <w:rFonts w:ascii="Calibri" w:hAnsi="Calibri"/>
          <w:b w:val="0"/>
          <w:i w:val="0"/>
          <w:color w:val="595959"/>
          <w:sz w:val="16"/>
        </w:rPr>
        <w:t>Locator: Arms/Interventions</w:t>
      </w:r>
    </w:p>
    <w:p>
      <w:pPr>
        <w:spacing w:after="20" w:before="0"/>
      </w:pPr>
      <w:r>
        <w:rPr>
          <w:rFonts w:ascii="Calibri" w:hAnsi="Calibri"/>
          <w:b/>
          <w:i w:val="0"/>
          <w:sz w:val="18"/>
        </w:rPr>
        <w:t>c4.L3.a1  ·  EXPLICIT</w:t>
      </w:r>
    </w:p>
    <w:p>
      <w:pPr>
        <w:spacing w:after="20" w:before="0"/>
        <w:ind w:left="280"/>
      </w:pPr>
      <w:r>
        <w:rPr>
          <w:rFonts w:ascii="Calibri" w:hAnsi="Calibri"/>
          <w:b w:val="0"/>
          <w:i/>
          <w:color w:val="142B4A"/>
          <w:sz w:val="18"/>
        </w:rPr>
        <w:t>20 mg tasimelteon capsules, PO daily for 6 months</w:t>
      </w:r>
    </w:p>
    <w:p>
      <w:pPr>
        <w:spacing w:after="60" w:before="0"/>
      </w:pPr>
      <w:r>
        <w:rPr>
          <w:rFonts w:ascii="Calibri" w:hAnsi="Calibri"/>
          <w:b w:val="0"/>
          <w:i w:val="0"/>
          <w:color w:val="595959"/>
          <w:sz w:val="16"/>
        </w:rPr>
        <w:t>Locator: Arms/Interventions</w:t>
      </w:r>
    </w:p>
    <w:p>
      <w:pPr>
        <w:spacing w:after="20" w:before="0"/>
      </w:pPr>
      <w:r>
        <w:rPr>
          <w:rFonts w:ascii="Calibri" w:hAnsi="Calibri"/>
          <w:b/>
          <w:i w:val="0"/>
          <w:sz w:val="18"/>
        </w:rPr>
        <w:t>c4.L4.a1  ·  EXPLICIT</w:t>
      </w:r>
    </w:p>
    <w:p>
      <w:pPr>
        <w:spacing w:after="20" w:before="0"/>
        <w:ind w:left="280"/>
      </w:pPr>
      <w:r>
        <w:rPr>
          <w:rFonts w:ascii="Calibri" w:hAnsi="Calibri"/>
          <w:b w:val="0"/>
          <w:i/>
          <w:color w:val="142B4A"/>
          <w:sz w:val="18"/>
        </w:rPr>
        <w:t>subjects will be asked to take either 20 mg tasimelteon or placebo approximately 1 hour prior to their target bedtime</w:t>
      </w:r>
    </w:p>
    <w:p>
      <w:pPr>
        <w:spacing w:after="60" w:before="0"/>
      </w:pPr>
      <w:r>
        <w:rPr>
          <w:rFonts w:ascii="Calibri" w:hAnsi="Calibri"/>
          <w:b w:val="0"/>
          <w:i w:val="0"/>
          <w:color w:val="595959"/>
          <w:sz w:val="16"/>
        </w:rPr>
        <w:t>Locator: Randomization phase description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NCT:NCT01429116 (ClinicalTrials.gov 2011)</w:t>
      </w:r>
      <w:r>
        <w:rPr>
          <w:rFonts w:ascii="Calibri" w:hAnsi="Calibri"/>
          <w:b w:val="0"/>
          <w:i w:val="0"/>
          <w:color w:val="142B4A"/>
          <w:sz w:val="20"/>
        </w:rPr>
        <w:t xml:space="preserve">  Tasimelteon for the Treatment of Non-24-hour Sleep-Wake Disorder (N24HSWD) in Blind Individuals With no Light Perception</w:t>
      </w:r>
    </w:p>
    <w:p>
      <w:pPr>
        <w:spacing w:after="80" w:before="0"/>
      </w:pPr>
      <w:r>
        <w:rPr>
          <w:rFonts w:ascii="Calibri" w:hAnsi="Calibri"/>
          <w:b w:val="0"/>
          <w:i w:val="0"/>
          <w:color w:val="595959"/>
          <w:sz w:val="16"/>
        </w:rPr>
        <w:t>pub. 2011-09-05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for the Treatment of Non-24-Hour Sleep-Wake Disorder (N24HSWD) in Blind Individuals</w:t>
      </w:r>
    </w:p>
    <w:p>
      <w:pPr>
        <w:spacing w:after="60" w:before="0"/>
      </w:pPr>
      <w:r>
        <w:rPr>
          <w:rFonts w:ascii="Calibri" w:hAnsi="Calibri"/>
          <w:b w:val="0"/>
          <w:i w:val="0"/>
          <w:color w:val="595959"/>
          <w:sz w:val="16"/>
        </w:rPr>
        <w:t>Locator: Title</w:t>
      </w:r>
    </w:p>
    <w:p>
      <w:pPr>
        <w:spacing w:after="20" w:before="0"/>
      </w:pPr>
      <w:r>
        <w:rPr>
          <w:rFonts w:ascii="Calibri" w:hAnsi="Calibri"/>
          <w:b/>
          <w:i w:val="0"/>
          <w:sz w:val="18"/>
        </w:rPr>
        <w:t>c2.L1.a1  ·  EXPLICIT</w:t>
      </w:r>
    </w:p>
    <w:p>
      <w:pPr>
        <w:spacing w:after="20" w:before="0"/>
        <w:ind w:left="280"/>
      </w:pPr>
      <w:r>
        <w:rPr>
          <w:rFonts w:ascii="Calibri" w:hAnsi="Calibri"/>
          <w:b w:val="0"/>
          <w:i/>
          <w:color w:val="142B4A"/>
          <w:sz w:val="18"/>
        </w:rPr>
        <w:t>for the Treatment of Non-24-Hour Sleep-Wake Disorder (N24HSWD) in Blind Individuals</w:t>
      </w:r>
    </w:p>
    <w:p>
      <w:pPr>
        <w:spacing w:after="60" w:before="0"/>
      </w:pPr>
      <w:r>
        <w:rPr>
          <w:rFonts w:ascii="Calibri" w:hAnsi="Calibri"/>
          <w:b w:val="0"/>
          <w:i w:val="0"/>
          <w:color w:val="595959"/>
          <w:sz w:val="16"/>
        </w:rPr>
        <w:t>Locator: Title</w:t>
      </w:r>
    </w:p>
    <w:p>
      <w:pPr>
        <w:spacing w:after="20" w:before="0"/>
      </w:pPr>
      <w:r>
        <w:rPr>
          <w:rFonts w:ascii="Calibri" w:hAnsi="Calibri"/>
          <w:b/>
          <w:i w:val="0"/>
          <w:sz w:val="18"/>
        </w:rPr>
        <w:t>c3.L1.a1  ·  EXPLICIT</w:t>
      </w:r>
    </w:p>
    <w:p>
      <w:pPr>
        <w:spacing w:after="20" w:before="0"/>
        <w:ind w:left="280"/>
      </w:pPr>
      <w:r>
        <w:rPr>
          <w:rFonts w:ascii="Calibri" w:hAnsi="Calibri"/>
          <w:b w:val="0"/>
          <w:i/>
          <w:color w:val="142B4A"/>
          <w:sz w:val="18"/>
        </w:rPr>
        <w:t>Blind Individuals With no Light Perception</w:t>
      </w:r>
    </w:p>
    <w:p>
      <w:pPr>
        <w:spacing w:after="60" w:before="0"/>
      </w:pPr>
      <w:r>
        <w:rPr>
          <w:rFonts w:ascii="Calibri" w:hAnsi="Calibri"/>
          <w:b w:val="0"/>
          <w:i w:val="0"/>
          <w:color w:val="595959"/>
          <w:sz w:val="16"/>
        </w:rPr>
        <w:t>Locator: Title</w:t>
      </w:r>
    </w:p>
    <w:p>
      <w:pPr>
        <w:spacing w:after="20" w:before="0"/>
      </w:pPr>
      <w:r>
        <w:rPr>
          <w:rFonts w:ascii="Calibri" w:hAnsi="Calibri"/>
          <w:b/>
          <w:i w:val="0"/>
          <w:sz w:val="18"/>
        </w:rPr>
        <w:t>c4.L1.a1  ·  EXPLICIT</w:t>
      </w:r>
    </w:p>
    <w:p>
      <w:pPr>
        <w:spacing w:after="20" w:before="0"/>
        <w:ind w:left="280"/>
      </w:pPr>
      <w:r>
        <w:rPr>
          <w:rFonts w:ascii="Calibri" w:hAnsi="Calibri"/>
          <w:b w:val="0"/>
          <w:i/>
          <w:color w:val="142B4A"/>
          <w:sz w:val="18"/>
        </w:rPr>
        <w:t>20 mg tasimelteon capsules, PO daily for 24 months</w:t>
      </w:r>
    </w:p>
    <w:p>
      <w:pPr>
        <w:spacing w:after="60" w:before="0"/>
      </w:pPr>
      <w:r>
        <w:rPr>
          <w:rFonts w:ascii="Calibri" w:hAnsi="Calibri"/>
          <w:b w:val="0"/>
          <w:i w:val="0"/>
          <w:color w:val="595959"/>
          <w:sz w:val="16"/>
        </w:rPr>
        <w:t>Locator: Arms/Interventions</w:t>
      </w:r>
    </w:p>
    <w:p>
      <w:pPr>
        <w:spacing w:after="20" w:before="0"/>
      </w:pPr>
      <w:r>
        <w:rPr>
          <w:rFonts w:ascii="Calibri" w:hAnsi="Calibri"/>
          <w:b/>
          <w:i w:val="0"/>
          <w:sz w:val="18"/>
        </w:rPr>
        <w:t>c4.L2.a1  ·  EXPLICIT</w:t>
      </w:r>
    </w:p>
    <w:p>
      <w:pPr>
        <w:spacing w:after="20" w:before="0"/>
        <w:ind w:left="280"/>
      </w:pPr>
      <w:r>
        <w:rPr>
          <w:rFonts w:ascii="Calibri" w:hAnsi="Calibri"/>
          <w:b w:val="0"/>
          <w:i/>
          <w:color w:val="142B4A"/>
          <w:sz w:val="18"/>
        </w:rPr>
        <w:t>20 mg tasimelteon capsules, PO daily for 24 months</w:t>
      </w:r>
    </w:p>
    <w:p>
      <w:pPr>
        <w:spacing w:after="60" w:before="0"/>
      </w:pPr>
      <w:r>
        <w:rPr>
          <w:rFonts w:ascii="Calibri" w:hAnsi="Calibri"/>
          <w:b w:val="0"/>
          <w:i w:val="0"/>
          <w:color w:val="595959"/>
          <w:sz w:val="16"/>
        </w:rPr>
        <w:t>Locator: Arms/Interventions</w:t>
      </w:r>
    </w:p>
    <w:p>
      <w:pPr>
        <w:spacing w:after="20" w:before="0"/>
      </w:pPr>
      <w:r>
        <w:rPr>
          <w:rFonts w:ascii="Calibri" w:hAnsi="Calibri"/>
          <w:b/>
          <w:i w:val="0"/>
          <w:sz w:val="18"/>
        </w:rPr>
        <w:t>c4.L3.a1  ·  EXPLICIT</w:t>
      </w:r>
    </w:p>
    <w:p>
      <w:pPr>
        <w:spacing w:after="20" w:before="0"/>
        <w:ind w:left="280"/>
      </w:pPr>
      <w:r>
        <w:rPr>
          <w:rFonts w:ascii="Calibri" w:hAnsi="Calibri"/>
          <w:b w:val="0"/>
          <w:i/>
          <w:color w:val="142B4A"/>
          <w:sz w:val="18"/>
        </w:rPr>
        <w:t>20 mg tasimelteon capsules, PO daily for 24 months</w:t>
      </w:r>
    </w:p>
    <w:p>
      <w:pPr>
        <w:spacing w:after="60" w:before="0"/>
      </w:pPr>
      <w:r>
        <w:rPr>
          <w:rFonts w:ascii="Calibri" w:hAnsi="Calibri"/>
          <w:b w:val="0"/>
          <w:i w:val="0"/>
          <w:color w:val="595959"/>
          <w:sz w:val="16"/>
        </w:rPr>
        <w:t>Locator: Arms/Interventions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NCT:NCT01402076 (ClinicalTrials.gov 2011)</w:t>
      </w:r>
      <w:r>
        <w:rPr>
          <w:rFonts w:ascii="Calibri" w:hAnsi="Calibri"/>
          <w:b w:val="0"/>
          <w:i w:val="0"/>
          <w:color w:val="142B4A"/>
          <w:sz w:val="20"/>
        </w:rPr>
        <w:t xml:space="preserve">  A Study to Assess the Effect Tasimelteon on the Cytochrome P450 3A4 and 2C8 Enzymes in Healthy Subjects</w:t>
      </w:r>
    </w:p>
    <w:p>
      <w:pPr>
        <w:spacing w:after="80" w:before="0"/>
      </w:pPr>
      <w:r>
        <w:rPr>
          <w:rFonts w:ascii="Calibri" w:hAnsi="Calibri"/>
          <w:b w:val="0"/>
          <w:i w:val="0"/>
          <w:color w:val="595959"/>
          <w:sz w:val="16"/>
        </w:rPr>
        <w:t>pub. 2011-07-26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Tasimelteon: 20mg daily dosing, Days 4-20</w:t>
      </w:r>
    </w:p>
    <w:p>
      <w:pPr>
        <w:spacing w:after="60" w:before="0"/>
      </w:pPr>
      <w:r>
        <w:rPr>
          <w:rFonts w:ascii="Calibri" w:hAnsi="Calibri"/>
          <w:b w:val="0"/>
          <w:i w:val="0"/>
          <w:color w:val="595959"/>
          <w:sz w:val="16"/>
        </w:rPr>
        <w:t>Locator: Steady State PK Group</w:t>
      </w:r>
    </w:p>
    <w:p>
      <w:pPr>
        <w:spacing w:after="20" w:before="0"/>
      </w:pPr>
      <w:r>
        <w:rPr>
          <w:rFonts w:ascii="Calibri" w:hAnsi="Calibri"/>
          <w:b/>
          <w:i w:val="0"/>
          <w:sz w:val="18"/>
        </w:rPr>
        <w:t>c4.L2.a1  ·  EXPLICIT</w:t>
      </w:r>
    </w:p>
    <w:p>
      <w:pPr>
        <w:spacing w:after="20" w:before="0"/>
        <w:ind w:left="280"/>
      </w:pPr>
      <w:r>
        <w:rPr>
          <w:rFonts w:ascii="Calibri" w:hAnsi="Calibri"/>
          <w:b w:val="0"/>
          <w:i/>
          <w:color w:val="142B4A"/>
          <w:sz w:val="18"/>
        </w:rPr>
        <w:t>Tasimelteon: 20mg daily dosing, Days 4-20</w:t>
      </w:r>
    </w:p>
    <w:p>
      <w:pPr>
        <w:spacing w:after="60" w:before="0"/>
      </w:pPr>
      <w:r>
        <w:rPr>
          <w:rFonts w:ascii="Calibri" w:hAnsi="Calibri"/>
          <w:b w:val="0"/>
          <w:i w:val="0"/>
          <w:color w:val="595959"/>
          <w:sz w:val="16"/>
        </w:rPr>
        <w:t>Locator: Steady State PK Group</w:t>
      </w:r>
    </w:p>
    <w:p>
      <w:pPr>
        <w:spacing w:after="20" w:before="0"/>
      </w:pPr>
      <w:r>
        <w:rPr>
          <w:rFonts w:ascii="Calibri" w:hAnsi="Calibri"/>
          <w:b/>
          <w:i w:val="0"/>
          <w:sz w:val="18"/>
        </w:rPr>
        <w:t>c4.L3.a1  ·  EXPLICIT</w:t>
      </w:r>
    </w:p>
    <w:p>
      <w:pPr>
        <w:spacing w:after="20" w:before="0"/>
        <w:ind w:left="280"/>
      </w:pPr>
      <w:r>
        <w:rPr>
          <w:rFonts w:ascii="Calibri" w:hAnsi="Calibri"/>
          <w:b w:val="0"/>
          <w:i/>
          <w:color w:val="142B4A"/>
          <w:sz w:val="18"/>
        </w:rPr>
        <w:t>Tasimelteon: 20mg daily dosing, Days 4-20</w:t>
      </w:r>
    </w:p>
    <w:p>
      <w:pPr>
        <w:spacing w:after="60" w:before="0"/>
      </w:pPr>
      <w:r>
        <w:rPr>
          <w:rFonts w:ascii="Calibri" w:hAnsi="Calibri"/>
          <w:b w:val="0"/>
          <w:i w:val="0"/>
          <w:color w:val="595959"/>
          <w:sz w:val="16"/>
        </w:rPr>
        <w:t>Locator: Steady State PK Group</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PMID:12661062 (Vachharajani et al. 2003)</w:t>
      </w:r>
      <w:r>
        <w:rPr>
          <w:rFonts w:ascii="Calibri" w:hAnsi="Calibri"/>
          <w:b w:val="0"/>
          <w:i w:val="0"/>
          <w:color w:val="142B4A"/>
          <w:sz w:val="20"/>
        </w:rPr>
        <w:t xml:space="preserve">  Preclinical pharmacokinetics and metabolism of BMS-214778, a novel melatonin receptor agonist</w:t>
      </w:r>
    </w:p>
    <w:p>
      <w:pPr>
        <w:spacing w:after="80" w:before="0"/>
      </w:pPr>
      <w:r>
        <w:rPr>
          <w:rFonts w:ascii="Calibri" w:hAnsi="Calibri"/>
          <w:b w:val="0"/>
          <w:i w:val="0"/>
          <w:color w:val="595959"/>
          <w:sz w:val="16"/>
        </w:rPr>
        <w:t>pub. 2003-04-01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Pharmacokinetic studies following intravenous and oral administration and 1 month oral steady-state studies were carried out in rats and monkeys.</w:t>
      </w:r>
    </w:p>
    <w:p>
      <w:pPr>
        <w:spacing w:after="60" w:before="0"/>
      </w:pPr>
      <w:r>
        <w:rPr>
          <w:rFonts w:ascii="Calibri" w:hAnsi="Calibri"/>
          <w:b w:val="0"/>
          <w:i w:val="0"/>
          <w:color w:val="595959"/>
          <w:sz w:val="16"/>
        </w:rPr>
        <w:t>Locator: abstract</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NCT:NCT00490945 (ClinicalTrials.gov 2004)</w:t>
      </w:r>
      <w:r>
        <w:rPr>
          <w:rFonts w:ascii="Calibri" w:hAnsi="Calibri"/>
          <w:b w:val="0"/>
          <w:i w:val="0"/>
          <w:color w:val="142B4A"/>
          <w:sz w:val="20"/>
        </w:rPr>
        <w:t xml:space="preserve">  Safety and Efficacy of VEC-162 on Circadian Rhythm in Healthy Adult Volunteers</w:t>
      </w:r>
    </w:p>
    <w:p>
      <w:pPr>
        <w:spacing w:after="80" w:before="0"/>
      </w:pPr>
      <w:r>
        <w:rPr>
          <w:rFonts w:ascii="Calibri" w:hAnsi="Calibri"/>
          <w:b w:val="0"/>
          <w:i w:val="0"/>
          <w:color w:val="595959"/>
          <w:sz w:val="16"/>
        </w:rPr>
        <w:t>pub. 2007-06-25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A Randomized, Double-blind, Placebo-controlled, Multi-center Study of the Effects of VEC-162 on Circadian Rhythm in Healthy Subjects</w:t>
      </w:r>
    </w:p>
    <w:p>
      <w:pPr>
        <w:spacing w:after="60" w:before="0"/>
      </w:pPr>
      <w:r>
        <w:rPr>
          <w:rFonts w:ascii="Calibri" w:hAnsi="Calibri"/>
          <w:b w:val="0"/>
          <w:i w:val="0"/>
          <w:color w:val="595959"/>
          <w:sz w:val="16"/>
        </w:rPr>
        <w:t>Locator: title</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NCT:NCT00291187 (ClinicalTrials.gov 2006)</w:t>
      </w:r>
      <w:r>
        <w:rPr>
          <w:rFonts w:ascii="Calibri" w:hAnsi="Calibri"/>
          <w:b w:val="0"/>
          <w:i w:val="0"/>
          <w:color w:val="142B4A"/>
          <w:sz w:val="20"/>
        </w:rPr>
        <w:t xml:space="preserve">  VEC-162 Study in Healthy Adult Volunteers in a Model of Insomnia</w:t>
      </w:r>
    </w:p>
    <w:p>
      <w:pPr>
        <w:spacing w:after="80" w:before="0"/>
      </w:pPr>
      <w:r>
        <w:rPr>
          <w:rFonts w:ascii="Calibri" w:hAnsi="Calibri"/>
          <w:b w:val="0"/>
          <w:i w:val="0"/>
          <w:color w:val="595959"/>
          <w:sz w:val="16"/>
        </w:rPr>
        <w:t>pub. 2006-02-13  ·  published before the subject's priority date  ·  channel: eligible</w:t>
      </w:r>
    </w:p>
    <w:p>
      <w:pPr>
        <w:spacing w:after="20" w:before="0"/>
      </w:pPr>
      <w:r>
        <w:rPr>
          <w:rFonts w:ascii="Calibri" w:hAnsi="Calibri"/>
          <w:b/>
          <w:i w:val="0"/>
          <w:sz w:val="18"/>
        </w:rPr>
        <w:t>c4.L1.a1  ·  EXPLICIT</w:t>
      </w:r>
    </w:p>
    <w:p>
      <w:pPr>
        <w:spacing w:after="20" w:before="0"/>
        <w:ind w:left="280"/>
      </w:pPr>
      <w:r>
        <w:rPr>
          <w:rFonts w:ascii="Calibri" w:hAnsi="Calibri"/>
          <w:b w:val="0"/>
          <w:i/>
          <w:color w:val="142B4A"/>
          <w:sz w:val="18"/>
        </w:rPr>
        <w:t>20 mg VEC-162: 20 mg taken orally 30 minutes prior to bedtime.</w:t>
      </w:r>
    </w:p>
    <w:p>
      <w:pPr>
        <w:spacing w:after="60" w:before="0"/>
      </w:pPr>
      <w:r>
        <w:rPr>
          <w:rFonts w:ascii="Calibri" w:hAnsi="Calibri"/>
          <w:b w:val="0"/>
          <w:i w:val="0"/>
          <w:color w:val="595959"/>
          <w:sz w:val="16"/>
        </w:rPr>
        <w:t>Locator: Intervention description</w:t>
      </w:r>
    </w:p>
    <w:p>
      <w:pPr>
        <w:spacing w:after="20" w:before="0"/>
      </w:pPr>
      <w:r>
        <w:rPr>
          <w:rFonts w:ascii="Calibri" w:hAnsi="Calibri"/>
          <w:b/>
          <w:i w:val="0"/>
          <w:sz w:val="18"/>
        </w:rPr>
        <w:t>c4.L2.a1  ·  EXPLICIT</w:t>
      </w:r>
    </w:p>
    <w:p>
      <w:pPr>
        <w:spacing w:after="20" w:before="0"/>
        <w:ind w:left="280"/>
      </w:pPr>
      <w:r>
        <w:rPr>
          <w:rFonts w:ascii="Calibri" w:hAnsi="Calibri"/>
          <w:b w:val="0"/>
          <w:i/>
          <w:color w:val="142B4A"/>
          <w:sz w:val="18"/>
        </w:rPr>
        <w:t>20 mg VEC-162: 20 mg taken orally 30 minutes prior to bedtime.</w:t>
      </w:r>
    </w:p>
    <w:p>
      <w:pPr>
        <w:spacing w:after="60" w:before="0"/>
      </w:pPr>
      <w:r>
        <w:rPr>
          <w:rFonts w:ascii="Calibri" w:hAnsi="Calibri"/>
          <w:b w:val="0"/>
          <w:i w:val="0"/>
          <w:color w:val="595959"/>
          <w:sz w:val="16"/>
        </w:rPr>
        <w:t>Locator: Intervention description</w:t>
      </w:r>
    </w:p>
    <w:p>
      <w:pPr>
        <w:spacing w:after="20" w:before="0"/>
      </w:pPr>
      <w:r>
        <w:rPr>
          <w:rFonts w:ascii="Calibri" w:hAnsi="Calibri"/>
          <w:b/>
          <w:i w:val="0"/>
          <w:sz w:val="18"/>
        </w:rPr>
        <w:t>c4.L3.a1  ·  AMBIGUOUS</w:t>
      </w:r>
    </w:p>
    <w:p>
      <w:pPr>
        <w:spacing w:after="20" w:before="0"/>
        <w:ind w:left="280"/>
      </w:pPr>
      <w:r>
        <w:rPr>
          <w:rFonts w:ascii="Calibri" w:hAnsi="Calibri"/>
          <w:b w:val="0"/>
          <w:i/>
          <w:color w:val="142B4A"/>
          <w:sz w:val="18"/>
        </w:rPr>
        <w:t>20 mg VEC-162: 20 mg taken orally 30 minutes prior to bedtime.</w:t>
      </w:r>
    </w:p>
    <w:p>
      <w:pPr>
        <w:spacing w:after="60" w:before="0"/>
      </w:pPr>
      <w:r>
        <w:rPr>
          <w:rFonts w:ascii="Calibri" w:hAnsi="Calibri"/>
          <w:b w:val="0"/>
          <w:i w:val="0"/>
          <w:color w:val="595959"/>
          <w:sz w:val="16"/>
        </w:rPr>
        <w:t>Locator: Intervention description</w:t>
      </w:r>
    </w:p>
    <w:p>
      <w:pPr>
        <w:spacing w:after="20" w:before="0"/>
      </w:pPr>
      <w:r>
        <w:rPr>
          <w:rFonts w:ascii="Calibri" w:hAnsi="Calibri"/>
          <w:b/>
          <w:i w:val="0"/>
          <w:sz w:val="18"/>
        </w:rPr>
        <w:t>c4.L4.a1  ·  EXPLICIT</w:t>
      </w:r>
    </w:p>
    <w:p>
      <w:pPr>
        <w:spacing w:after="20" w:before="0"/>
        <w:ind w:left="280"/>
      </w:pPr>
      <w:r>
        <w:rPr>
          <w:rFonts w:ascii="Calibri" w:hAnsi="Calibri"/>
          <w:b w:val="0"/>
          <w:i/>
          <w:color w:val="142B4A"/>
          <w:sz w:val="18"/>
        </w:rPr>
        <w:t>20 mg VEC-162: 20 mg taken orally 30 minutes prior to bedtime.</w:t>
      </w:r>
    </w:p>
    <w:p>
      <w:pPr>
        <w:spacing w:after="60" w:before="0"/>
      </w:pPr>
      <w:r>
        <w:rPr>
          <w:rFonts w:ascii="Calibri" w:hAnsi="Calibri"/>
          <w:b w:val="0"/>
          <w:i w:val="0"/>
          <w:color w:val="595959"/>
          <w:sz w:val="16"/>
        </w:rPr>
        <w:t>Locator: Intervention description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PMID:23861638 (Pandi-Perumal et al. 2011)</w:t>
      </w:r>
      <w:r>
        <w:rPr>
          <w:rFonts w:ascii="Calibri" w:hAnsi="Calibri"/>
          <w:b w:val="0"/>
          <w:i w:val="0"/>
          <w:color w:val="142B4A"/>
          <w:sz w:val="20"/>
        </w:rPr>
        <w:t xml:space="preserve">  Pharmacotherapy of insomnia with ramelteon: safety, efficacy and clinical applications</w:t>
      </w:r>
    </w:p>
    <w:p>
      <w:pPr>
        <w:spacing w:after="80" w:before="0"/>
      </w:pPr>
      <w:r>
        <w:rPr>
          <w:rFonts w:ascii="Calibri" w:hAnsi="Calibri"/>
          <w:b w:val="0"/>
          <w:i w:val="0"/>
          <w:color w:val="595959"/>
          <w:sz w:val="16"/>
        </w:rPr>
        <w:t>pub. 2011-04-12  ·  published before the subject's priority date  ·  channel: eligible</w:t>
      </w:r>
    </w:p>
    <w:p>
      <w:pPr>
        <w:spacing w:after="20" w:before="0"/>
      </w:pPr>
      <w:r>
        <w:rPr>
          <w:rFonts w:ascii="Calibri" w:hAnsi="Calibri"/>
          <w:b/>
          <w:i w:val="0"/>
          <w:sz w:val="18"/>
        </w:rPr>
        <w:t>c1.L2.a1  ·  NOT_FOUND</w:t>
      </w:r>
    </w:p>
    <w:p>
      <w:pPr>
        <w:spacing w:after="20" w:before="0"/>
      </w:pPr>
      <w:r>
        <w:rPr>
          <w:rFonts w:ascii="Calibri" w:hAnsi="Calibri"/>
          <w:b/>
          <w:i w:val="0"/>
          <w:color w:val="595959"/>
          <w:sz w:val="17"/>
        </w:rPr>
        <w:t>Analogous teaching (awaiting attorney) for ramelteon</w:t>
      </w:r>
    </w:p>
    <w:p>
      <w:pPr>
        <w:spacing w:after="20" w:before="0"/>
        <w:ind w:left="280"/>
      </w:pPr>
      <w:r>
        <w:rPr>
          <w:rFonts w:ascii="Calibri" w:hAnsi="Calibri"/>
          <w:b w:val="0"/>
          <w:i/>
          <w:color w:val="142B4A"/>
          <w:sz w:val="18"/>
        </w:rPr>
        <w:t>The CYP inducer rifampin has been shown to considerably decrease levels of both ramelteon and its metabolite M-II. To avoid losses in efficacy, this and other strong upregulators of relevant CYP enzymes should be avoided.</w:t>
      </w:r>
    </w:p>
    <w:p>
      <w:pPr>
        <w:spacing w:after="60" w:before="0"/>
      </w:pPr>
      <w:r>
        <w:rPr>
          <w:rFonts w:ascii="Calibri" w:hAnsi="Calibri"/>
          <w:b w:val="0"/>
          <w:i w:val="0"/>
          <w:color w:val="595959"/>
          <w:sz w:val="16"/>
        </w:rPr>
        <w:t>Locator: Pharmacokinetic Profile of Ramelteon versus Melatonin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NCT:NCT00608907 (ClinicalTrials.gov 2007)</w:t>
      </w:r>
      <w:r>
        <w:rPr>
          <w:rFonts w:ascii="Calibri" w:hAnsi="Calibri"/>
          <w:b w:val="0"/>
          <w:i w:val="0"/>
          <w:color w:val="142B4A"/>
          <w:sz w:val="20"/>
        </w:rPr>
        <w:t xml:space="preserve">  An Open-Label Study to Assess the Effect of CYP3A4 Induction on the Pharmacokinetics of VELCADE (Bortezomib)</w:t>
      </w:r>
    </w:p>
    <w:p>
      <w:pPr>
        <w:spacing w:after="80" w:before="0"/>
      </w:pPr>
      <w:r>
        <w:rPr>
          <w:rFonts w:ascii="Calibri" w:hAnsi="Calibri"/>
          <w:b w:val="0"/>
          <w:i w:val="0"/>
          <w:color w:val="595959"/>
          <w:sz w:val="16"/>
        </w:rPr>
        <w:t>pub. 2008-02-06  ·  published before the subject's priority date  ·  channel: eligible</w:t>
      </w:r>
    </w:p>
    <w:p>
      <w:pPr>
        <w:spacing w:after="20" w:before="0"/>
      </w:pPr>
      <w:r>
        <w:rPr>
          <w:rFonts w:ascii="Calibri" w:hAnsi="Calibri"/>
          <w:b/>
          <w:i w:val="0"/>
          <w:sz w:val="18"/>
        </w:rPr>
        <w:t>c1.L1.a2  ·  PARTIAL</w:t>
      </w:r>
    </w:p>
    <w:p>
      <w:pPr>
        <w:spacing w:after="20" w:before="0"/>
        <w:ind w:left="280"/>
      </w:pPr>
      <w:r>
        <w:rPr>
          <w:rFonts w:ascii="Calibri" w:hAnsi="Calibri"/>
          <w:b w:val="0"/>
          <w:i/>
          <w:color w:val="142B4A"/>
          <w:sz w:val="18"/>
        </w:rPr>
        <w:t>rifampicin 600 mg once daily days 4 to 10 in cycle 3</w:t>
      </w:r>
    </w:p>
    <w:p>
      <w:pPr>
        <w:spacing w:after="60" w:before="0"/>
      </w:pPr>
      <w:r>
        <w:rPr>
          <w:rFonts w:ascii="Calibri" w:hAnsi="Calibri"/>
          <w:b w:val="0"/>
          <w:i w:val="0"/>
          <w:color w:val="595959"/>
          <w:sz w:val="16"/>
        </w:rPr>
        <w:t>Locator: Arms section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PMID:22087865 (Hellmann et al. 2011)</w:t>
      </w:r>
      <w:r>
        <w:rPr>
          <w:rFonts w:ascii="Calibri" w:hAnsi="Calibri"/>
          <w:b w:val="0"/>
          <w:i w:val="0"/>
          <w:color w:val="142B4A"/>
          <w:sz w:val="20"/>
        </w:rPr>
        <w:t xml:space="preserve">  Effect of cytochrome P450 3A4 inducers on the pharmacokinetic, pharmacodynamic and safety profiles of bortezomib in patients with multiple myeloma or non-Hodgki</w:t>
      </w:r>
    </w:p>
    <w:p>
      <w:pPr>
        <w:spacing w:after="80" w:before="0"/>
      </w:pPr>
      <w:r>
        <w:rPr>
          <w:rFonts w:ascii="Calibri" w:hAnsi="Calibri"/>
          <w:b w:val="0"/>
          <w:i w:val="0"/>
          <w:color w:val="595959"/>
          <w:sz w:val="16"/>
        </w:rPr>
        <w:t>pub. 2011-12-01  ·  published before the subject's priority date  ·  channel: eligible</w:t>
      </w:r>
    </w:p>
    <w:p>
      <w:pPr>
        <w:spacing w:after="20" w:before="0"/>
      </w:pPr>
      <w:r>
        <w:rPr>
          <w:rFonts w:ascii="Calibri" w:hAnsi="Calibri"/>
          <w:b/>
          <w:i w:val="0"/>
          <w:sz w:val="18"/>
        </w:rPr>
        <w:t>c1.L1.a2  ·  PARTIAL</w:t>
      </w:r>
    </w:p>
    <w:p>
      <w:pPr>
        <w:spacing w:after="20" w:before="0"/>
        <w:ind w:left="280"/>
      </w:pPr>
      <w:r>
        <w:rPr>
          <w:rFonts w:ascii="Calibri" w:hAnsi="Calibri"/>
          <w:b w:val="0"/>
          <w:i/>
          <w:color w:val="142B4A"/>
          <w:sz w:val="18"/>
        </w:rPr>
        <w:t>co-administration of rifampicin decreased the exposure to bortezomib</w:t>
      </w:r>
    </w:p>
    <w:p>
      <w:pPr>
        <w:spacing w:after="60" w:before="0"/>
      </w:pPr>
      <w:r>
        <w:rPr>
          <w:rFonts w:ascii="Calibri" w:hAnsi="Calibri"/>
          <w:b w:val="0"/>
          <w:i w:val="0"/>
          <w:color w:val="595959"/>
          <w:sz w:val="16"/>
        </w:rPr>
        <w:t>Locator: Conclusions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PMID:20136385 (Ferguson et al. 2010)</w:t>
      </w:r>
      <w:r>
        <w:rPr>
          <w:rFonts w:ascii="Calibri" w:hAnsi="Calibri"/>
          <w:b w:val="0"/>
          <w:i w:val="0"/>
          <w:color w:val="142B4A"/>
          <w:sz w:val="20"/>
        </w:rPr>
        <w:t xml:space="preserve">  Melatonin agonists and insomnia</w:t>
      </w:r>
    </w:p>
    <w:p>
      <w:pPr>
        <w:spacing w:after="80" w:before="0"/>
      </w:pPr>
      <w:r>
        <w:rPr>
          <w:rFonts w:ascii="Calibri" w:hAnsi="Calibri"/>
          <w:b w:val="0"/>
          <w:i w:val="0"/>
          <w:color w:val="595959"/>
          <w:sz w:val="16"/>
        </w:rPr>
        <w:t>pub. 2010-02-01  ·  published before the subject's priority date  ·  channel: eligible</w:t>
      </w:r>
    </w:p>
    <w:p>
      <w:pPr>
        <w:spacing w:after="20" w:before="0"/>
      </w:pPr>
      <w:r>
        <w:rPr>
          <w:rFonts w:ascii="Calibri" w:hAnsi="Calibri"/>
          <w:b/>
          <w:i w:val="0"/>
          <w:sz w:val="18"/>
        </w:rPr>
        <w:t>c1.L1.a1  ·  PARTIAL</w:t>
      </w:r>
    </w:p>
    <w:p>
      <w:pPr>
        <w:spacing w:after="20" w:before="0"/>
        <w:ind w:left="280"/>
      </w:pPr>
      <w:r>
        <w:rPr>
          <w:rFonts w:ascii="Calibri" w:hAnsi="Calibri"/>
          <w:b w:val="0"/>
          <w:i/>
          <w:color w:val="142B4A"/>
          <w:sz w:val="18"/>
        </w:rPr>
        <w:t>melatonin has been used in the treatment of various circadian rhythm sleep disorders, such as advanced and delayed sleep phase disorders, jet lag and shiftwork disorder.</w:t>
      </w:r>
    </w:p>
    <w:p>
      <w:pPr>
        <w:spacing w:after="60" w:before="0"/>
      </w:pPr>
      <w:r>
        <w:rPr>
          <w:rFonts w:ascii="Calibri" w:hAnsi="Calibri"/>
          <w:b w:val="0"/>
          <w:i w:val="0"/>
          <w:color w:val="595959"/>
          <w:sz w:val="16"/>
        </w:rPr>
        <w:t>Locator: abstract</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PMID:19228178 (Miyamoto 2009)</w:t>
      </w:r>
      <w:r>
        <w:rPr>
          <w:rFonts w:ascii="Calibri" w:hAnsi="Calibri"/>
          <w:b w:val="0"/>
          <w:i w:val="0"/>
          <w:color w:val="142B4A"/>
          <w:sz w:val="20"/>
        </w:rPr>
        <w:t xml:space="preserve">  Pharmacology of Ramelteon, a Selective MT1/MT2Receptor Agonist: A Novel Therapeutic Drug for Sleep Disorders</w:t>
      </w:r>
    </w:p>
    <w:p>
      <w:pPr>
        <w:spacing w:after="80" w:before="0"/>
      </w:pPr>
      <w:r>
        <w:rPr>
          <w:rFonts w:ascii="Calibri" w:hAnsi="Calibri"/>
          <w:b w:val="0"/>
          <w:i w:val="0"/>
          <w:color w:val="595959"/>
          <w:sz w:val="16"/>
        </w:rPr>
        <w:t>pub. 2009-01-01  ·  published before the subject's priority date  ·  channel: eligible</w:t>
      </w:r>
    </w:p>
    <w:p>
      <w:pPr>
        <w:spacing w:after="20" w:before="0"/>
      </w:pPr>
      <w:r>
        <w:rPr>
          <w:rFonts w:ascii="Calibri" w:hAnsi="Calibri"/>
          <w:b/>
          <w:i w:val="0"/>
          <w:sz w:val="18"/>
        </w:rPr>
        <w:t>c2.L1.a1  ·  PARTIAL</w:t>
      </w:r>
    </w:p>
    <w:p>
      <w:pPr>
        <w:spacing w:after="20" w:before="0"/>
        <w:ind w:left="280"/>
      </w:pPr>
      <w:r>
        <w:rPr>
          <w:rFonts w:ascii="Calibri" w:hAnsi="Calibri"/>
          <w:b w:val="0"/>
          <w:i/>
          <w:color w:val="142B4A"/>
          <w:sz w:val="18"/>
        </w:rPr>
        <w:t>Among blind individuals, non‐24‐h sleep‐wake syndrome may occur in as many as 50%</w:t>
      </w:r>
    </w:p>
    <w:p>
      <w:pPr>
        <w:spacing w:after="60" w:before="0"/>
      </w:pPr>
      <w:r>
        <w:rPr>
          <w:rFonts w:ascii="Calibri" w:hAnsi="Calibri"/>
          <w:b w:val="0"/>
          <w:i w:val="0"/>
          <w:color w:val="595959"/>
          <w:sz w:val="16"/>
        </w:rPr>
        <w:t>Locator: Future Perspective</w:t>
      </w:r>
    </w:p>
    <w:p>
      <w:pPr>
        <w:spacing w:after="20" w:before="0"/>
      </w:pPr>
      <w:r>
        <w:rPr>
          <w:rFonts w:ascii="Calibri" w:hAnsi="Calibri"/>
          <w:b/>
          <w:i w:val="0"/>
          <w:sz w:val="18"/>
        </w:rPr>
        <w:t>c3.L1.a1  ·  PARTIAL</w:t>
      </w:r>
    </w:p>
    <w:p>
      <w:pPr>
        <w:spacing w:after="20" w:before="0"/>
        <w:ind w:left="280"/>
      </w:pPr>
      <w:r>
        <w:rPr>
          <w:rFonts w:ascii="Calibri" w:hAnsi="Calibri"/>
          <w:b w:val="0"/>
          <w:i/>
          <w:color w:val="142B4A"/>
          <w:sz w:val="18"/>
        </w:rPr>
        <w:t>Among blind individuals, non‐24‐h sleep‐wake syndrome may occur in as many as 50%</w:t>
      </w:r>
    </w:p>
    <w:p>
      <w:pPr>
        <w:spacing w:after="60" w:before="0"/>
      </w:pPr>
      <w:r>
        <w:rPr>
          <w:rFonts w:ascii="Calibri" w:hAnsi="Calibri"/>
          <w:b w:val="0"/>
          <w:i w:val="0"/>
          <w:color w:val="595959"/>
          <w:sz w:val="16"/>
        </w:rPr>
        <w:t>Locator: Future Perspective</w:t>
      </w:r>
    </w:p>
    <w:p>
      <w:pPr>
        <w:spacing w:after="20" w:before="0"/>
      </w:pPr>
      <w:r>
        <w:rPr>
          <w:rFonts w:ascii="Calibri" w:hAnsi="Calibri"/>
          <w:b/>
          <w:i w:val="0"/>
          <w:sz w:val="18"/>
        </w:rPr>
        <w:t>c4.L1.a1  ·  AMBIGUOUS</w:t>
      </w:r>
    </w:p>
    <w:p>
      <w:pPr>
        <w:spacing w:after="20" w:before="0"/>
        <w:ind w:left="280"/>
      </w:pPr>
      <w:r>
        <w:rPr>
          <w:rFonts w:ascii="Calibri" w:hAnsi="Calibri"/>
          <w:b w:val="0"/>
          <w:i/>
          <w:color w:val="142B4A"/>
          <w:sz w:val="18"/>
        </w:rPr>
        <w:t>ramelteon (16 mg and 64 mg) ... p.o.</w:t>
      </w:r>
    </w:p>
    <w:p>
      <w:pPr>
        <w:spacing w:after="60" w:before="0"/>
      </w:pPr>
      <w:r>
        <w:rPr>
          <w:rFonts w:ascii="Calibri" w:hAnsi="Calibri"/>
          <w:b w:val="0"/>
          <w:i w:val="0"/>
          <w:color w:val="595959"/>
          <w:sz w:val="16"/>
        </w:rPr>
        <w:t>Locator: Sleep-Promoting Effects</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nightly administration of either ramelteon 4 mg or ramelteon 8 mg produced reductions in patient‐reported sleep latency</w:t>
      </w:r>
    </w:p>
    <w:p>
      <w:pPr>
        <w:spacing w:after="60" w:before="0"/>
      </w:pPr>
      <w:r>
        <w:rPr>
          <w:rFonts w:ascii="Calibri" w:hAnsi="Calibri"/>
          <w:b w:val="0"/>
          <w:i w:val="0"/>
          <w:color w:val="595959"/>
          <w:sz w:val="16"/>
        </w:rPr>
        <w:t>Locator: Chronic Insomnia</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NCT:NCT01128582 (ClinicalTrials.gov 2009)</w:t>
      </w:r>
      <w:r>
        <w:rPr>
          <w:rFonts w:ascii="Calibri" w:hAnsi="Calibri"/>
          <w:b w:val="0"/>
          <w:i w:val="0"/>
          <w:color w:val="142B4A"/>
          <w:sz w:val="20"/>
        </w:rPr>
        <w:t xml:space="preserve">  Effect of Rozerem on the Perception of GERD Symptoms in Patients With Chronic Insomnia</w:t>
      </w:r>
    </w:p>
    <w:p>
      <w:pPr>
        <w:spacing w:after="80" w:before="0"/>
      </w:pPr>
      <w:r>
        <w:rPr>
          <w:rFonts w:ascii="Calibri" w:hAnsi="Calibri"/>
          <w:b w:val="0"/>
          <w:i w:val="0"/>
          <w:color w:val="595959"/>
          <w:sz w:val="16"/>
        </w:rPr>
        <w:t>pub. 2010-05-24  ·  published before the subject's priority date  ·  channel: eligible</w:t>
      </w:r>
    </w:p>
    <w:p>
      <w:pPr>
        <w:spacing w:after="20" w:before="0"/>
      </w:pPr>
      <w:r>
        <w:rPr>
          <w:rFonts w:ascii="Calibri" w:hAnsi="Calibri"/>
          <w:b/>
          <w:i w:val="0"/>
          <w:sz w:val="18"/>
        </w:rPr>
        <w:t>c4.L3.a1  ·  STRUCTURAL_INFERENCE  (by analogy)</w:t>
      </w:r>
    </w:p>
    <w:p>
      <w:pPr>
        <w:spacing w:after="20" w:before="0"/>
        <w:ind w:left="280"/>
      </w:pPr>
      <w:r>
        <w:rPr>
          <w:rFonts w:ascii="Calibri" w:hAnsi="Calibri"/>
          <w:b w:val="0"/>
          <w:i/>
          <w:color w:val="142B4A"/>
          <w:sz w:val="18"/>
        </w:rPr>
        <w:t>Rozerem (ramelteon): dosage= take 1 tablet(8 MG) 20 min. before bedtime</w:t>
      </w:r>
    </w:p>
    <w:p>
      <w:pPr>
        <w:spacing w:after="60" w:before="0"/>
      </w:pPr>
      <w:r>
        <w:rPr>
          <w:rFonts w:ascii="Calibri" w:hAnsi="Calibri"/>
          <w:b w:val="0"/>
          <w:i w:val="0"/>
          <w:color w:val="595959"/>
          <w:sz w:val="16"/>
        </w:rPr>
        <w:t>Locator: Interventions</w:t>
      </w:r>
    </w:p>
    <w:p>
      <w:pPr>
        <w:spacing w:after="20" w:before="0"/>
      </w:pPr>
      <w:r>
        <w:rPr>
          <w:rFonts w:ascii="Calibri" w:hAnsi="Calibri"/>
          <w:b/>
          <w:i w:val="0"/>
          <w:sz w:val="18"/>
        </w:rPr>
        <w:t>c4.L4.a1  ·  STRUCTURAL_INFERENCE</w:t>
      </w:r>
    </w:p>
    <w:p>
      <w:pPr>
        <w:spacing w:after="20" w:before="0"/>
        <w:ind w:left="280"/>
      </w:pPr>
      <w:r>
        <w:rPr>
          <w:rFonts w:ascii="Calibri" w:hAnsi="Calibri"/>
          <w:b w:val="0"/>
          <w:i/>
          <w:color w:val="142B4A"/>
          <w:sz w:val="18"/>
        </w:rPr>
        <w:t>Rozerem (ramelteon): dosage= take 1 tablet(8 MG) 20 min. before bedtime</w:t>
      </w:r>
    </w:p>
    <w:p>
      <w:pPr>
        <w:spacing w:after="60" w:before="0"/>
      </w:pPr>
      <w:r>
        <w:rPr>
          <w:rFonts w:ascii="Calibri" w:hAnsi="Calibri"/>
          <w:b w:val="0"/>
          <w:i w:val="0"/>
          <w:color w:val="595959"/>
          <w:sz w:val="16"/>
        </w:rPr>
        <w:t>Locator: Interventions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NCT:NCT00593736 (ClinicalTrials.gov 2007)</w:t>
      </w:r>
      <w:r>
        <w:rPr>
          <w:rFonts w:ascii="Calibri" w:hAnsi="Calibri"/>
          <w:b w:val="0"/>
          <w:i w:val="0"/>
          <w:color w:val="142B4A"/>
          <w:sz w:val="20"/>
        </w:rPr>
        <w:t xml:space="preserve">  Efficacy of Ramelteon on Speeding Up Sleep in Subjects With Delayed Sleep Phase Syndrome</w:t>
      </w:r>
    </w:p>
    <w:p>
      <w:pPr>
        <w:spacing w:after="80" w:before="0"/>
      </w:pPr>
      <w:r>
        <w:rPr>
          <w:rFonts w:ascii="Calibri" w:hAnsi="Calibri"/>
          <w:b w:val="0"/>
          <w:i w:val="0"/>
          <w:color w:val="595959"/>
          <w:sz w:val="16"/>
        </w:rPr>
        <w:t>pub. 2008-01-15  ·  published before the subject's priority date  ·  channel: eligible</w:t>
      </w:r>
    </w:p>
    <w:p>
      <w:pPr>
        <w:spacing w:after="20" w:before="0"/>
      </w:pPr>
      <w:r>
        <w:rPr>
          <w:rFonts w:ascii="Calibri" w:hAnsi="Calibri"/>
          <w:b/>
          <w:i w:val="0"/>
          <w:sz w:val="18"/>
        </w:rPr>
        <w:t>c4.L1.a1  ·  STRUCTURAL_INFERENCE</w:t>
      </w:r>
    </w:p>
    <w:p>
      <w:pPr>
        <w:spacing w:after="20" w:before="0"/>
        <w:ind w:left="280"/>
      </w:pPr>
      <w:r>
        <w:rPr>
          <w:rFonts w:ascii="Calibri" w:hAnsi="Calibri"/>
          <w:b w:val="0"/>
          <w:i/>
          <w:color w:val="142B4A"/>
          <w:sz w:val="18"/>
        </w:rPr>
        <w:t>Ramelteon: Ramelteon 1 mg, tablets, orally, once daily for up to two weeks.</w:t>
      </w:r>
    </w:p>
    <w:p>
      <w:pPr>
        <w:spacing w:after="60" w:before="0"/>
      </w:pPr>
      <w:r>
        <w:rPr>
          <w:rFonts w:ascii="Calibri" w:hAnsi="Calibri"/>
          <w:b w:val="0"/>
          <w:i w:val="0"/>
          <w:color w:val="595959"/>
          <w:sz w:val="16"/>
        </w:rPr>
        <w:t>Locator: Interventions</w:t>
      </w:r>
    </w:p>
    <w:p>
      <w:pPr>
        <w:spacing w:after="20" w:before="0"/>
      </w:pPr>
      <w:r>
        <w:rPr>
          <w:rFonts w:ascii="Calibri" w:hAnsi="Calibri"/>
          <w:b/>
          <w:i w:val="0"/>
          <w:sz w:val="18"/>
        </w:rPr>
        <w:t>c4.L3.a1  ·  EXPLICIT</w:t>
      </w:r>
    </w:p>
    <w:p>
      <w:pPr>
        <w:spacing w:after="20" w:before="0"/>
        <w:ind w:left="280"/>
      </w:pPr>
      <w:r>
        <w:rPr>
          <w:rFonts w:ascii="Calibri" w:hAnsi="Calibri"/>
          <w:b w:val="0"/>
          <w:i/>
          <w:color w:val="142B4A"/>
          <w:sz w:val="18"/>
        </w:rPr>
        <w:t>once daily (QD)</w:t>
      </w:r>
    </w:p>
    <w:p>
      <w:pPr>
        <w:spacing w:after="60" w:before="0"/>
      </w:pPr>
      <w:r>
        <w:rPr>
          <w:rFonts w:ascii="Calibri" w:hAnsi="Calibri"/>
          <w:b w:val="0"/>
          <w:i w:val="0"/>
          <w:color w:val="595959"/>
          <w:sz w:val="16"/>
        </w:rPr>
        <w:t>Locator: Study purpose statement</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NCT:NCT01114126 (ClinicalTrials.gov 2010)</w:t>
      </w:r>
      <w:r>
        <w:rPr>
          <w:rFonts w:ascii="Calibri" w:hAnsi="Calibri"/>
          <w:b w:val="0"/>
          <w:i w:val="0"/>
          <w:color w:val="142B4A"/>
          <w:sz w:val="20"/>
        </w:rPr>
        <w:t xml:space="preserve">  Safety, Tolerability, Pharmacokinetics and Pharmacodynamics of Neu-P11 in Subjects With Primary Insomnia</w:t>
      </w:r>
    </w:p>
    <w:p>
      <w:pPr>
        <w:spacing w:after="80" w:before="0"/>
      </w:pPr>
      <w:r>
        <w:rPr>
          <w:rFonts w:ascii="Calibri" w:hAnsi="Calibri"/>
          <w:b w:val="0"/>
          <w:i w:val="0"/>
          <w:color w:val="595959"/>
          <w:sz w:val="16"/>
        </w:rPr>
        <w:t>pub. 2010-04-30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The study hypothesis is that Neu-P11 is safe, tolerated and have significant sleep promoting effects.</w:t>
      </w:r>
    </w:p>
    <w:p>
      <w:pPr>
        <w:spacing w:after="60" w:before="0"/>
      </w:pPr>
      <w:r>
        <w:rPr>
          <w:rFonts w:ascii="Calibri" w:hAnsi="Calibri"/>
          <w:b w:val="0"/>
          <w:i w:val="0"/>
          <w:color w:val="595959"/>
          <w:sz w:val="16"/>
        </w:rPr>
        <w:t>Locator: study description</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given nightly over 2 periods of 5 days</w:t>
      </w:r>
    </w:p>
    <w:p>
      <w:pPr>
        <w:spacing w:after="60" w:before="0"/>
      </w:pPr>
      <w:r>
        <w:rPr>
          <w:rFonts w:ascii="Calibri" w:hAnsi="Calibri"/>
          <w:b w:val="0"/>
          <w:i w:val="0"/>
          <w:color w:val="595959"/>
          <w:sz w:val="16"/>
        </w:rPr>
        <w:t>Locator: study description</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PMID:16309958 (Erman et al. 2006)</w:t>
      </w:r>
      <w:r>
        <w:rPr>
          <w:rFonts w:ascii="Calibri" w:hAnsi="Calibri"/>
          <w:b w:val="0"/>
          <w:i w:val="0"/>
          <w:color w:val="142B4A"/>
          <w:sz w:val="20"/>
        </w:rPr>
        <w:t xml:space="preserve">  An efficacy, safety, and dose–response study of Ramelteon in patients with chronic primary insomnia</w:t>
      </w:r>
    </w:p>
    <w:p>
      <w:pPr>
        <w:spacing w:after="80" w:before="0"/>
      </w:pPr>
      <w:r>
        <w:rPr>
          <w:rFonts w:ascii="Calibri" w:hAnsi="Calibri"/>
          <w:b w:val="0"/>
          <w:i w:val="0"/>
          <w:color w:val="595959"/>
          <w:sz w:val="16"/>
        </w:rPr>
        <w:t>pub. 2005-11-24  ·  published before the subject's priority date  ·  channel: eligible</w:t>
      </w:r>
    </w:p>
    <w:p>
      <w:pPr>
        <w:spacing w:after="20" w:before="0"/>
      </w:pPr>
      <w:r>
        <w:rPr>
          <w:rFonts w:ascii="Calibri" w:hAnsi="Calibri"/>
          <w:b/>
          <w:i w:val="0"/>
          <w:sz w:val="18"/>
        </w:rPr>
        <w:t>c4.L4.a1  ·  PARTIAL</w:t>
      </w:r>
    </w:p>
    <w:p>
      <w:pPr>
        <w:spacing w:after="20" w:before="0"/>
        <w:ind w:left="280"/>
      </w:pPr>
      <w:r>
        <w:rPr>
          <w:rFonts w:ascii="Calibri" w:hAnsi="Calibri"/>
          <w:b w:val="0"/>
          <w:i/>
          <w:color w:val="142B4A"/>
          <w:sz w:val="18"/>
        </w:rPr>
        <w:t>Medication was administered 30 min before habitual bedtime and polysomnographic monitoring.</w:t>
      </w:r>
    </w:p>
    <w:p>
      <w:pPr>
        <w:spacing w:after="60" w:before="0"/>
      </w:pPr>
      <w:r>
        <w:rPr>
          <w:rFonts w:ascii="Calibri" w:hAnsi="Calibri"/>
          <w:b w:val="0"/>
          <w:i w:val="0"/>
          <w:color w:val="595959"/>
          <w:sz w:val="16"/>
        </w:rPr>
        <w:t>Locator: Patients and methods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PMID:19294955 (Mayer et al. 2009)</w:t>
      </w:r>
      <w:r>
        <w:rPr>
          <w:rFonts w:ascii="Calibri" w:hAnsi="Calibri"/>
          <w:b w:val="0"/>
          <w:i w:val="0"/>
          <w:color w:val="142B4A"/>
          <w:sz w:val="20"/>
        </w:rPr>
        <w:t xml:space="preserve">  Efficacy and Safety of 6-Month Nightly Ramelteon Administration in Adults with Chronic Primary Insomnia</w:t>
      </w:r>
    </w:p>
    <w:p>
      <w:pPr>
        <w:spacing w:after="80" w:before="0"/>
      </w:pPr>
      <w:r>
        <w:rPr>
          <w:rFonts w:ascii="Calibri" w:hAnsi="Calibri"/>
          <w:b w:val="0"/>
          <w:i w:val="0"/>
          <w:color w:val="595959"/>
          <w:sz w:val="16"/>
        </w:rPr>
        <w:t>pub. 2009-03-01  ·  published before the subject's priority date  ·  channel: eligible</w:t>
      </w:r>
    </w:p>
    <w:p>
      <w:pPr>
        <w:spacing w:after="20" w:before="0"/>
      </w:pPr>
      <w:r>
        <w:rPr>
          <w:rFonts w:ascii="Calibri" w:hAnsi="Calibri"/>
          <w:b/>
          <w:i w:val="0"/>
          <w:sz w:val="18"/>
        </w:rPr>
        <w:t>c4.L1.a1  ·  STRUCTURAL_INFERENCE</w:t>
      </w:r>
    </w:p>
    <w:p>
      <w:pPr>
        <w:spacing w:after="20" w:before="0"/>
        <w:ind w:left="280"/>
      </w:pPr>
      <w:r>
        <w:rPr>
          <w:rFonts w:ascii="Calibri" w:hAnsi="Calibri"/>
          <w:b w:val="0"/>
          <w:i/>
          <w:color w:val="142B4A"/>
          <w:sz w:val="18"/>
        </w:rPr>
        <w:t>Ramelteon, 8 mg, or placebo 30 minutes before bedtime nightly for 6 months.</w:t>
      </w:r>
    </w:p>
    <w:p>
      <w:pPr>
        <w:spacing w:after="60" w:before="0"/>
      </w:pPr>
      <w:r>
        <w:rPr>
          <w:rFonts w:ascii="Calibri" w:hAnsi="Calibri"/>
          <w:b w:val="0"/>
          <w:i w:val="0"/>
          <w:color w:val="595959"/>
          <w:sz w:val="16"/>
        </w:rPr>
        <w:t>Locator: Interventions</w:t>
      </w:r>
    </w:p>
    <w:p>
      <w:pPr>
        <w:spacing w:after="20" w:before="0"/>
      </w:pPr>
      <w:r>
        <w:rPr>
          <w:rFonts w:ascii="Calibri" w:hAnsi="Calibri"/>
          <w:b/>
          <w:i w:val="0"/>
          <w:sz w:val="18"/>
        </w:rPr>
        <w:t>c4.L3.a1  ·  STRUCTURAL_INFERENCE</w:t>
      </w:r>
    </w:p>
    <w:p>
      <w:pPr>
        <w:spacing w:after="20" w:before="0"/>
        <w:ind w:left="280"/>
      </w:pPr>
      <w:r>
        <w:rPr>
          <w:rFonts w:ascii="Calibri" w:hAnsi="Calibri"/>
          <w:b w:val="0"/>
          <w:i/>
          <w:color w:val="142B4A"/>
          <w:sz w:val="18"/>
        </w:rPr>
        <w:t>Ramelteon, 8 mg, or placebo 30 minutes before bedtime nightly for 6 months.</w:t>
      </w:r>
    </w:p>
    <w:p>
      <w:pPr>
        <w:spacing w:after="60" w:before="0"/>
      </w:pPr>
      <w:r>
        <w:rPr>
          <w:rFonts w:ascii="Calibri" w:hAnsi="Calibri"/>
          <w:b w:val="0"/>
          <w:i w:val="0"/>
          <w:color w:val="595959"/>
          <w:sz w:val="16"/>
        </w:rPr>
        <w:t>Locator: Interventions</w:t>
      </w:r>
    </w:p>
    <w:p>
      <w:pPr>
        <w:spacing w:after="20" w:before="0"/>
      </w:pPr>
      <w:r>
        <w:rPr>
          <w:rFonts w:ascii="Calibri" w:hAnsi="Calibri"/>
          <w:b/>
          <w:i w:val="0"/>
          <w:sz w:val="18"/>
        </w:rPr>
        <w:t>c4.L4.a1  ·  STRUCTURAL_INFERENCE</w:t>
      </w:r>
    </w:p>
    <w:p>
      <w:pPr>
        <w:spacing w:after="20" w:before="0"/>
        <w:ind w:left="280"/>
      </w:pPr>
      <w:r>
        <w:rPr>
          <w:rFonts w:ascii="Calibri" w:hAnsi="Calibri"/>
          <w:b w:val="0"/>
          <w:i/>
          <w:color w:val="142B4A"/>
          <w:sz w:val="18"/>
        </w:rPr>
        <w:t>Ramelteon, 8 mg, or placebo 30 minutes before bedtime nightly for 6 months.</w:t>
      </w:r>
    </w:p>
    <w:p>
      <w:pPr>
        <w:spacing w:after="60" w:before="0"/>
      </w:pPr>
      <w:r>
        <w:rPr>
          <w:rFonts w:ascii="Calibri" w:hAnsi="Calibri"/>
          <w:b w:val="0"/>
          <w:i w:val="0"/>
          <w:color w:val="595959"/>
          <w:sz w:val="16"/>
        </w:rPr>
        <w:t>Locator: Interventions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PMID:16709464 (Roth et al. 2006)</w:t>
      </w:r>
      <w:r>
        <w:rPr>
          <w:rFonts w:ascii="Calibri" w:hAnsi="Calibri"/>
          <w:b w:val="0"/>
          <w:i w:val="0"/>
          <w:color w:val="142B4A"/>
          <w:sz w:val="20"/>
        </w:rPr>
        <w:t xml:space="preserve">  Effects of ramelteon on patient-reported sleep latency in older adults with chronic insomnia</w:t>
      </w:r>
    </w:p>
    <w:p>
      <w:pPr>
        <w:spacing w:after="80" w:before="0"/>
      </w:pPr>
      <w:r>
        <w:rPr>
          <w:rFonts w:ascii="Calibri" w:hAnsi="Calibri"/>
          <w:b w:val="0"/>
          <w:i w:val="0"/>
          <w:color w:val="595959"/>
          <w:sz w:val="16"/>
        </w:rPr>
        <w:t>pub. 2006-05-20  ·  published before the subject's priority date  ·  channel: eligible</w:t>
      </w:r>
    </w:p>
    <w:p>
      <w:pPr>
        <w:spacing w:after="20" w:before="0"/>
      </w:pPr>
      <w:r>
        <w:rPr>
          <w:rFonts w:ascii="Calibri" w:hAnsi="Calibri"/>
          <w:b/>
          <w:i w:val="0"/>
          <w:sz w:val="18"/>
        </w:rPr>
        <w:t>c4.L1.a1  ·  STRUCTURAL_INFERENCE</w:t>
      </w:r>
    </w:p>
    <w:p>
      <w:pPr>
        <w:spacing w:after="20" w:before="0"/>
        <w:ind w:left="280"/>
      </w:pPr>
      <w:r>
        <w:rPr>
          <w:rFonts w:ascii="Calibri" w:hAnsi="Calibri"/>
          <w:b w:val="0"/>
          <w:i/>
          <w:color w:val="142B4A"/>
          <w:sz w:val="18"/>
        </w:rPr>
        <w:t>Placebo, ramelteon 4mg, or ramelteon 8mg were taken nightly for five weeks</w:t>
      </w:r>
    </w:p>
    <w:p>
      <w:pPr>
        <w:spacing w:after="60" w:before="0"/>
      </w:pPr>
      <w:r>
        <w:rPr>
          <w:rFonts w:ascii="Calibri" w:hAnsi="Calibri"/>
          <w:b w:val="0"/>
          <w:i w:val="0"/>
          <w:color w:val="595959"/>
          <w:sz w:val="16"/>
        </w:rPr>
        <w:t>Locator: Patients and methods</w:t>
      </w:r>
    </w:p>
    <w:p>
      <w:pPr>
        <w:spacing w:after="20" w:before="0"/>
      </w:pPr>
      <w:r>
        <w:rPr>
          <w:rFonts w:ascii="Calibri" w:hAnsi="Calibri"/>
          <w:b/>
          <w:i w:val="0"/>
          <w:sz w:val="18"/>
        </w:rPr>
        <w:t>c4.L3.a1  ·  EXPLICIT</w:t>
      </w:r>
    </w:p>
    <w:p>
      <w:pPr>
        <w:spacing w:after="20" w:before="0"/>
        <w:ind w:left="280"/>
      </w:pPr>
      <w:r>
        <w:rPr>
          <w:rFonts w:ascii="Calibri" w:hAnsi="Calibri"/>
          <w:b w:val="0"/>
          <w:i/>
          <w:color w:val="142B4A"/>
          <w:sz w:val="18"/>
        </w:rPr>
        <w:t>were taken nightly for five weeks</w:t>
      </w:r>
    </w:p>
    <w:p>
      <w:pPr>
        <w:spacing w:after="60" w:before="0"/>
      </w:pPr>
      <w:r>
        <w:rPr>
          <w:rFonts w:ascii="Calibri" w:hAnsi="Calibri"/>
          <w:b w:val="0"/>
          <w:i w:val="0"/>
          <w:color w:val="595959"/>
          <w:sz w:val="16"/>
        </w:rPr>
        <w:t>Locator: Patients and methods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PMID:17803013 (Zammit et al. 2007)</w:t>
      </w:r>
      <w:r>
        <w:rPr>
          <w:rFonts w:ascii="Calibri" w:hAnsi="Calibri"/>
          <w:b w:val="0"/>
          <w:i w:val="0"/>
          <w:color w:val="142B4A"/>
          <w:sz w:val="20"/>
        </w:rPr>
        <w:t xml:space="preserve">  Evaluation of the Efficacy and Safety of Ramelteon in Subjects with Chronic Insomnia</w:t>
      </w:r>
    </w:p>
    <w:p>
      <w:pPr>
        <w:spacing w:after="80" w:before="0"/>
      </w:pPr>
      <w:r>
        <w:rPr>
          <w:rFonts w:ascii="Calibri" w:hAnsi="Calibri"/>
          <w:b w:val="0"/>
          <w:i w:val="0"/>
          <w:color w:val="595959"/>
          <w:sz w:val="16"/>
        </w:rPr>
        <w:t>pub. 2007-08-15  ·  published before the subject's priority date  ·  channel: eligible</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Randomized, multicenter, double-blind, placebo-controlled trial of nightly ramelteon treatment (8 mg or 16 mg) in adults (N=405) with primary chronic insomnia (DSM-IV-TR).</w:t>
      </w:r>
    </w:p>
    <w:p>
      <w:pPr>
        <w:spacing w:after="60" w:before="0"/>
      </w:pPr>
      <w:r>
        <w:rPr>
          <w:rFonts w:ascii="Calibri" w:hAnsi="Calibri"/>
          <w:b w:val="0"/>
          <w:i w:val="0"/>
          <w:color w:val="595959"/>
          <w:sz w:val="16"/>
        </w:rPr>
        <w:t>Locator: Methods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PMID:14655910 (Krystal et al. 2003)</w:t>
      </w:r>
      <w:r>
        <w:rPr>
          <w:rFonts w:ascii="Calibri" w:hAnsi="Calibri"/>
          <w:b w:val="0"/>
          <w:i w:val="0"/>
          <w:color w:val="142B4A"/>
          <w:sz w:val="20"/>
        </w:rPr>
        <w:t xml:space="preserve">  Sustained Efficacy of Eszopiclone Over 6 Months of Nightly Treatment: Results of a Randomized, Double-Blind, Placebo-Controlled Study in Adults with Chronic Ins</w:t>
      </w:r>
    </w:p>
    <w:p>
      <w:pPr>
        <w:spacing w:after="80" w:before="0"/>
      </w:pPr>
      <w:r>
        <w:rPr>
          <w:rFonts w:ascii="Calibri" w:hAnsi="Calibri"/>
          <w:b w:val="0"/>
          <w:i w:val="0"/>
          <w:color w:val="595959"/>
          <w:sz w:val="16"/>
        </w:rPr>
        <w:t>pub. 2003-10-01  ·  published before the subject's priority date  ·  channel: eligible</w:t>
      </w:r>
    </w:p>
    <w:p>
      <w:pPr>
        <w:spacing w:after="20" w:before="0"/>
      </w:pPr>
      <w:r>
        <w:rPr>
          <w:rFonts w:ascii="Calibri" w:hAnsi="Calibri"/>
          <w:b/>
          <w:i w:val="0"/>
          <w:sz w:val="18"/>
        </w:rPr>
        <w:t>c4.L3.a1  ·  PARTIAL  (by analogy)</w:t>
      </w:r>
    </w:p>
    <w:p>
      <w:pPr>
        <w:spacing w:after="20" w:before="0"/>
        <w:ind w:left="280"/>
      </w:pPr>
      <w:r>
        <w:rPr>
          <w:rFonts w:ascii="Calibri" w:hAnsi="Calibri"/>
          <w:b w:val="0"/>
          <w:i/>
          <w:color w:val="142B4A"/>
          <w:sz w:val="18"/>
        </w:rPr>
        <w:t>Eszopiclone 3 mg (n = 593) or placebo (n = 195), nightly for 6 months</w:t>
      </w:r>
    </w:p>
    <w:p>
      <w:pPr>
        <w:spacing w:after="60" w:before="0"/>
      </w:pPr>
      <w:r>
        <w:rPr>
          <w:rFonts w:ascii="Calibri" w:hAnsi="Calibri"/>
          <w:b w:val="0"/>
          <w:i w:val="0"/>
          <w:color w:val="595959"/>
          <w:sz w:val="16"/>
        </w:rPr>
        <w:t>Locator: Interventions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NPL:FDA-LABEL-NDA021782-2010-11-12</w:t>
      </w:r>
      <w:r>
        <w:rPr>
          <w:rFonts w:ascii="Calibri" w:hAnsi="Calibri"/>
          <w:b w:val="0"/>
          <w:i w:val="0"/>
          <w:color w:val="142B4A"/>
          <w:sz w:val="20"/>
        </w:rPr>
        <w:t xml:space="preserve">  ROZEREM prescribing information (Drugs@FDA NDA021782, label dated 2010-11-12)</w:t>
      </w:r>
    </w:p>
    <w:p>
      <w:pPr>
        <w:spacing w:after="80" w:before="0"/>
      </w:pPr>
      <w:r>
        <w:rPr>
          <w:rFonts w:ascii="Calibri" w:hAnsi="Calibri"/>
          <w:b w:val="0"/>
          <w:i w:val="0"/>
          <w:color w:val="595959"/>
          <w:sz w:val="16"/>
        </w:rPr>
        <w:t>pub. 2010-11-12  ·  published before the subject's priority date  ·  channel: eligible</w:t>
      </w:r>
    </w:p>
    <w:p>
      <w:pPr>
        <w:spacing w:after="20" w:before="0"/>
      </w:pPr>
      <w:r>
        <w:rPr>
          <w:rFonts w:ascii="Calibri" w:hAnsi="Calibri"/>
          <w:b/>
          <w:i w:val="0"/>
          <w:sz w:val="18"/>
        </w:rPr>
        <w:t>c1.L1.a2  ·  PARTIAL</w:t>
      </w:r>
    </w:p>
    <w:p>
      <w:pPr>
        <w:spacing w:after="20" w:before="0"/>
        <w:ind w:left="280"/>
      </w:pPr>
      <w:r>
        <w:rPr>
          <w:rFonts w:ascii="Calibri" w:hAnsi="Calibri"/>
          <w:b w:val="0"/>
          <w:i/>
          <w:color w:val="142B4A"/>
          <w:sz w:val="18"/>
        </w:rPr>
        <w:t>Rifampin (strong CYP enzyme inducer): Administration of multiple doses of rifampin resulted in a mean decrease of approximately 80% in total exposure to ramelteon and metabolite M-II.</w:t>
      </w:r>
    </w:p>
    <w:p>
      <w:pPr>
        <w:spacing w:after="60" w:before="0"/>
      </w:pPr>
      <w:r>
        <w:rPr>
          <w:rFonts w:ascii="Calibri" w:hAnsi="Calibri"/>
          <w:b w:val="0"/>
          <w:i w:val="0"/>
          <w:color w:val="595959"/>
          <w:sz w:val="16"/>
        </w:rPr>
        <w:t>Locator: 7.1 Drug Interactions</w:t>
      </w:r>
    </w:p>
    <w:p>
      <w:pPr>
        <w:spacing w:after="20" w:before="0"/>
      </w:pPr>
      <w:r>
        <w:rPr>
          <w:rFonts w:ascii="Calibri" w:hAnsi="Calibri"/>
          <w:b/>
          <w:i w:val="0"/>
          <w:sz w:val="18"/>
        </w:rPr>
        <w:t>c1.L2.a1  ·  NOT_FOUND</w:t>
      </w:r>
    </w:p>
    <w:p>
      <w:pPr>
        <w:spacing w:after="20" w:before="0"/>
      </w:pPr>
      <w:r>
        <w:rPr>
          <w:rFonts w:ascii="Calibri" w:hAnsi="Calibri"/>
          <w:b/>
          <w:i w:val="0"/>
          <w:color w:val="595959"/>
          <w:sz w:val="17"/>
        </w:rPr>
        <w:t>Analogous teaching (awaiting attorney) for ramelteon</w:t>
      </w:r>
    </w:p>
    <w:p>
      <w:pPr>
        <w:spacing w:after="20" w:before="0"/>
        <w:ind w:left="280"/>
      </w:pPr>
      <w:r>
        <w:rPr>
          <w:rFonts w:ascii="Calibri" w:hAnsi="Calibri"/>
          <w:b w:val="0"/>
          <w:i/>
          <w:color w:val="142B4A"/>
          <w:sz w:val="18"/>
        </w:rPr>
        <w:t>Rifampin (strong CYP enzyme inducer): Administration of multiple doses of rifampin resulted in a mean decrease of approximately 80% in total exposure to ramelteon and metabolite M-II. Efficacy may be reduced when ROZEREM is used in combination with strong CYP enzyme inducers such as rifampin</w:t>
      </w:r>
    </w:p>
    <w:p>
      <w:pPr>
        <w:spacing w:after="60" w:before="0"/>
      </w:pPr>
      <w:r>
        <w:rPr>
          <w:rFonts w:ascii="Calibri" w:hAnsi="Calibri"/>
          <w:b w:val="0"/>
          <w:i w:val="0"/>
          <w:color w:val="595959"/>
          <w:sz w:val="16"/>
        </w:rPr>
        <w:t>Locator: Section 7.1 Effects of Other Drugs on ROZEREM</w:t>
      </w:r>
    </w:p>
    <w:p>
      <w:pPr>
        <w:spacing w:after="20" w:before="0"/>
      </w:pPr>
      <w:r>
        <w:rPr>
          <w:rFonts w:ascii="Calibri" w:hAnsi="Calibri"/>
          <w:b/>
          <w:i w:val="0"/>
          <w:sz w:val="18"/>
        </w:rPr>
        <w:t>c4.L1.a1  ·  STRUCTURAL_INFERENCE  (by analogy)</w:t>
      </w:r>
    </w:p>
    <w:p>
      <w:pPr>
        <w:spacing w:after="20" w:before="0"/>
        <w:ind w:left="280"/>
      </w:pPr>
      <w:r>
        <w:rPr>
          <w:rFonts w:ascii="Calibri" w:hAnsi="Calibri"/>
          <w:b w:val="0"/>
          <w:i/>
          <w:color w:val="142B4A"/>
          <w:sz w:val="18"/>
        </w:rPr>
        <w:t>ROZEREM is available in an 8 mg strength tablet for oral administration.</w:t>
      </w:r>
    </w:p>
    <w:p>
      <w:pPr>
        <w:spacing w:after="60" w:before="0"/>
      </w:pPr>
      <w:r>
        <w:rPr>
          <w:rFonts w:ascii="Calibri" w:hAnsi="Calibri"/>
          <w:b w:val="0"/>
          <w:i w:val="0"/>
          <w:color w:val="595959"/>
          <w:sz w:val="16"/>
        </w:rPr>
        <w:t>Locator: 3 Dosage Forms and Strengths</w:t>
      </w:r>
    </w:p>
    <w:p>
      <w:pPr>
        <w:spacing w:after="20" w:before="0"/>
      </w:pPr>
      <w:r>
        <w:rPr>
          <w:rFonts w:ascii="Calibri" w:hAnsi="Calibri"/>
          <w:b/>
          <w:i w:val="0"/>
          <w:sz w:val="18"/>
        </w:rPr>
        <w:t>c4.L3.a1  ·  EXPLICIT</w:t>
      </w:r>
    </w:p>
    <w:p>
      <w:pPr>
        <w:spacing w:after="20" w:before="0"/>
        <w:ind w:left="280"/>
      </w:pPr>
      <w:r>
        <w:rPr>
          <w:rFonts w:ascii="Calibri" w:hAnsi="Calibri"/>
          <w:b w:val="0"/>
          <w:i/>
          <w:color w:val="142B4A"/>
          <w:sz w:val="18"/>
        </w:rPr>
        <w:t>The recommended dose of ROZEREM is 8 mg taken within 30 minutes of going to bed.</w:t>
      </w:r>
    </w:p>
    <w:p>
      <w:pPr>
        <w:spacing w:after="60" w:before="0"/>
      </w:pPr>
      <w:r>
        <w:rPr>
          <w:rFonts w:ascii="Calibri" w:hAnsi="Calibri"/>
          <w:b w:val="0"/>
          <w:i w:val="0"/>
          <w:color w:val="595959"/>
          <w:sz w:val="16"/>
        </w:rPr>
        <w:t>Locator: 2.1 Dosage in Adults</w:t>
      </w:r>
    </w:p>
    <w:p>
      <w:pPr>
        <w:spacing w:after="20" w:before="0"/>
      </w:pPr>
      <w:r>
        <w:rPr>
          <w:rFonts w:ascii="Calibri" w:hAnsi="Calibri"/>
          <w:b/>
          <w:i w:val="0"/>
          <w:sz w:val="18"/>
        </w:rPr>
        <w:t>c4.L4.a1  ·  EXPLICIT</w:t>
      </w:r>
    </w:p>
    <w:p>
      <w:pPr>
        <w:spacing w:after="20" w:before="0"/>
        <w:ind w:left="280"/>
      </w:pPr>
      <w:r>
        <w:rPr>
          <w:rFonts w:ascii="Calibri" w:hAnsi="Calibri"/>
          <w:b w:val="0"/>
          <w:i/>
          <w:color w:val="142B4A"/>
          <w:sz w:val="18"/>
        </w:rPr>
        <w:t>The recommended dose of ROZEREM is 8 mg taken within 30 minutes of going to bed.</w:t>
      </w:r>
    </w:p>
    <w:p>
      <w:pPr>
        <w:spacing w:after="60" w:before="0"/>
      </w:pPr>
      <w:r>
        <w:rPr>
          <w:rFonts w:ascii="Calibri" w:hAnsi="Calibri"/>
          <w:b w:val="0"/>
          <w:i w:val="0"/>
          <w:color w:val="595959"/>
          <w:sz w:val="16"/>
        </w:rPr>
        <w:t>Locator: 2.1 Dosage in Adults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PMID:20923245 (Harrison et al. 2010)</w:t>
      </w:r>
      <w:r>
        <w:rPr>
          <w:rFonts w:ascii="Calibri" w:hAnsi="Calibri"/>
          <w:b w:val="0"/>
          <w:i w:val="0"/>
          <w:color w:val="142B4A"/>
          <w:sz w:val="20"/>
        </w:rPr>
        <w:t xml:space="preserve">  Effects of rifampicin (rifampin) on the pharmacokinetics and safety of ambrisentan in healthy subjects: a single-sequence, open-label study</w:t>
      </w:r>
    </w:p>
    <w:p>
      <w:pPr>
        <w:spacing w:after="80" w:before="0"/>
      </w:pPr>
      <w:r>
        <w:rPr>
          <w:rFonts w:ascii="Calibri" w:hAnsi="Calibri"/>
          <w:b w:val="0"/>
          <w:i w:val="0"/>
          <w:color w:val="595959"/>
          <w:sz w:val="16"/>
        </w:rPr>
        <w:t>pub. 2010-01-01  ·  published before the subject's priority date  ·  channel: eligible</w:t>
      </w:r>
    </w:p>
    <w:p>
      <w:pPr>
        <w:spacing w:after="20" w:before="0"/>
      </w:pPr>
      <w:r>
        <w:rPr>
          <w:rFonts w:ascii="Calibri" w:hAnsi="Calibri"/>
          <w:b/>
          <w:i w:val="0"/>
          <w:sz w:val="18"/>
        </w:rPr>
        <w:t>c4.L1.a1  ·  PARTIAL</w:t>
      </w:r>
    </w:p>
    <w:p>
      <w:pPr>
        <w:spacing w:after="20" w:before="0"/>
        <w:ind w:left="280"/>
      </w:pPr>
      <w:r>
        <w:rPr>
          <w:rFonts w:ascii="Calibri" w:hAnsi="Calibri"/>
          <w:b w:val="0"/>
          <w:i/>
          <w:color w:val="142B4A"/>
          <w:sz w:val="18"/>
        </w:rPr>
        <w:t>Subjects were administered oral doses of ambrisentan (10 mg) once daily</w:t>
      </w:r>
    </w:p>
    <w:p>
      <w:pPr>
        <w:spacing w:after="60" w:before="0"/>
      </w:pPr>
      <w:r>
        <w:rPr>
          <w:rFonts w:ascii="Calibri" w:hAnsi="Calibri"/>
          <w:b w:val="0"/>
          <w:i w:val="0"/>
          <w:color w:val="595959"/>
          <w:sz w:val="16"/>
        </w:rPr>
        <w:t>Locator: Methods</w:t>
      </w:r>
    </w:p>
    <w:p>
      <w:pPr>
        <w:spacing w:after="20" w:before="0"/>
      </w:pPr>
      <w:r>
        <w:rPr>
          <w:rFonts w:ascii="Calibri" w:hAnsi="Calibri"/>
          <w:b/>
          <w:i w:val="0"/>
          <w:sz w:val="18"/>
        </w:rPr>
        <w:t>c4.L3.a1  ·  PARTIAL</w:t>
      </w:r>
    </w:p>
    <w:p>
      <w:pPr>
        <w:spacing w:after="20" w:before="0"/>
        <w:ind w:left="280"/>
      </w:pPr>
      <w:r>
        <w:rPr>
          <w:rFonts w:ascii="Calibri" w:hAnsi="Calibri"/>
          <w:b w:val="0"/>
          <w:i/>
          <w:color w:val="142B4A"/>
          <w:sz w:val="18"/>
        </w:rPr>
        <w:t>were administered oral doses of ambrisentan (10 mg) once daily on days 1 through 5</w:t>
      </w:r>
    </w:p>
    <w:p>
      <w:pPr>
        <w:spacing w:after="60" w:before="0"/>
      </w:pPr>
      <w:r>
        <w:rPr>
          <w:rFonts w:ascii="Calibri" w:hAnsi="Calibri"/>
          <w:b w:val="0"/>
          <w:i w:val="0"/>
          <w:color w:val="595959"/>
          <w:sz w:val="16"/>
        </w:rPr>
        <w:t>Locator: Methods</w:t>
      </w:r>
    </w:p>
    <w:p>
      <w:pPr>
        <w:spacing w:after="120" w:before="0"/>
      </w:pPr>
      <w:r>
        <w:rPr>
          <w:rFonts w:ascii="Calibri" w:hAnsi="Calibri"/>
          <w:b w:val="0"/>
          <w:i w:val="0"/>
          <w:color w:val="595959"/>
          <w:sz w:val="18"/>
        </w:rPr>
        <w:t>____________________________________________</w:t>
      </w:r>
    </w:p>
    <w:p>
      <w:pPr>
        <w:spacing w:after="40" w:before="0"/>
      </w:pPr>
      <w:r>
        <w:rPr>
          <w:rFonts w:ascii="Calibri" w:hAnsi="Calibri"/>
          <w:b/>
          <w:i w:val="0"/>
          <w:color w:val="142B4A"/>
          <w:sz w:val="20"/>
        </w:rPr>
        <w:t xml:space="preserve">Compared file: </w:t>
      </w:r>
      <w:r>
        <w:rPr>
          <w:rFonts w:ascii="Calibri" w:hAnsi="Calibri"/>
          <w:b/>
          <w:i w:val="0"/>
          <w:color w:val="C9A227"/>
          <w:sz w:val="20"/>
        </w:rPr>
        <w:t>NCT:NCT00929786 (ClinicalTrials.gov 2007)</w:t>
      </w:r>
      <w:r>
        <w:rPr>
          <w:rFonts w:ascii="Calibri" w:hAnsi="Calibri"/>
          <w:b w:val="0"/>
          <w:i w:val="0"/>
          <w:color w:val="142B4A"/>
          <w:sz w:val="20"/>
        </w:rPr>
        <w:t xml:space="preserve">  Anti-tuberculosis (TB) Drug Levels and Hepatotoxicity</w:t>
      </w:r>
    </w:p>
    <w:p>
      <w:pPr>
        <w:spacing w:after="80" w:before="0"/>
      </w:pPr>
      <w:r>
        <w:rPr>
          <w:rFonts w:ascii="Calibri" w:hAnsi="Calibri"/>
          <w:b w:val="0"/>
          <w:i w:val="0"/>
          <w:color w:val="595959"/>
          <w:sz w:val="16"/>
        </w:rPr>
        <w:t>pub. 2009-06-30  ·  published before the subject's priority date  ·  channel: eligible</w:t>
      </w:r>
    </w:p>
    <w:p>
      <w:pPr>
        <w:spacing w:after="20" w:before="0"/>
      </w:pPr>
      <w:r>
        <w:rPr>
          <w:rFonts w:ascii="Calibri" w:hAnsi="Calibri"/>
          <w:b/>
          <w:i w:val="0"/>
          <w:sz w:val="18"/>
        </w:rPr>
        <w:t>c1.L1.a2  ·  PARTIAL</w:t>
      </w:r>
    </w:p>
    <w:p>
      <w:pPr>
        <w:spacing w:after="20" w:before="0"/>
        <w:ind w:left="280"/>
      </w:pPr>
      <w:r>
        <w:rPr>
          <w:rFonts w:ascii="Calibri" w:hAnsi="Calibri"/>
          <w:b w:val="0"/>
          <w:i/>
          <w:color w:val="142B4A"/>
          <w:sz w:val="18"/>
        </w:rPr>
        <w:t>isoniazid, rifampicin, pyrazinamide plus significant metabolites</w:t>
      </w:r>
    </w:p>
    <w:p>
      <w:pPr>
        <w:spacing w:after="60" w:before="0"/>
      </w:pPr>
      <w:r>
        <w:rPr>
          <w:rFonts w:ascii="Calibri" w:hAnsi="Calibri"/>
          <w:b w:val="0"/>
          <w:i w:val="0"/>
          <w:color w:val="595959"/>
          <w:sz w:val="16"/>
        </w:rPr>
        <w:t>Locator: Purpose statement</w:t>
      </w:r>
    </w:p>
    <w:p>
      <w:pPr>
        <w:spacing w:after="120" w:before="0"/>
      </w:pPr>
      <w:r>
        <w:rPr>
          <w:rFonts w:ascii="Calibri" w:hAnsi="Calibri"/>
          <w:b w:val="0"/>
          <w:i w:val="0"/>
          <w:color w:val="595959"/>
          <w:sz w:val="18"/>
        </w:rPr>
        <w:t>____________________________________________</w:t>
      </w:r>
    </w:p>
    <w:sectPr w:rsidR="00FC693F" w:rsidRPr="0006063C" w:rsidSect="00034616">
      <w:footerReference w:type="default" r:id="rId9"/>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595959"/>
        <w:sz w:val="16"/>
      </w:rPr>
      <w:t xml:space="preserve">Page </w:t>
    </w:r>
    <w:r>
      <w:rPr>
        <w:color w:val="595959"/>
        <w:sz w:val="16"/>
      </w:rPr>
      <w:fldChar w:fldCharType="begin"/>
      <w:instrText xml:space="preserve">PAGE</w:instrText>
      <w:fldChar w:fldCharType="end"/>
    </w:r>
    <w:r>
      <w:rPr>
        <w:rFonts w:ascii="Calibri" w:hAnsi="Calibri"/>
        <w:b w:val="0"/>
        <w:i w:val="0"/>
        <w:color w:val="595959"/>
        <w:sz w:val="16"/>
      </w:rPr>
      <w:t xml:space="preserve"> of </w:t>
    </w:r>
    <w:r>
      <w:rPr>
        <w:color w:val="595959"/>
        <w:sz w:val="16"/>
      </w:rPr>
      <w:fldChar w:fldCharType="begin"/>
      <w:instrText xml:space="preserve">NUMPAGES</w:instrText>
      <w:fldChar w:fldCharType="end"/>
    </w:r>
    <w:r>
      <w:rPr>
        <w:rFonts w:ascii="Calibri" w:hAnsi="Calibri"/>
        <w:b w:val="0"/>
        <w:i w:val="0"/>
        <w:color w:val="595959"/>
        <w:sz w:val="14"/>
      </w:rPr>
      <w:t xml:space="preserve">   ·   record b35436a43ace421e · renderer 2.1.0</w:t>
    </w:r>
  </w:p>
  <w:p>
    <w:pPr>
      <w:jc w:val="center"/>
    </w:pPr>
    <w:r>
      <w:rPr>
        <w:rFonts w:ascii="Calibri" w:hAnsi="Calibri"/>
        <w:b w:val="0"/>
        <w:i/>
        <w:color w:val="595959"/>
        <w:sz w:val="14"/>
      </w:rPr>
      <w:t>Hypothetical / illustrative screening work product generated by automated analysis. Not legal advice and not an opinion of counsel. Combinations and motivations are triage signals only; every legal conclusion -- including whether any claim is obvious under 35 U.S.C. § 103 -- is reserved to a qualified patent professional.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